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bidi w:val="0"/>
        <w:adjustRightInd/>
        <w:snapToGrid/>
        <w:spacing w:beforeLines="0" w:afterLines="0" w:line="560" w:lineRule="exact"/>
        <w:ind w:left="0" w:leftChars="0" w:right="0" w:rightChars="0" w:firstLine="0" w:firstLineChars="0"/>
        <w:jc w:val="both"/>
        <w:textAlignment w:val="auto"/>
        <w:outlineLvl w:val="9"/>
        <w:rPr>
          <w:rFonts w:hint="default" w:ascii="Times New Roman" w:hAnsi="Times New Roman" w:eastAsia="黑体" w:cs="Times New Roman"/>
          <w:sz w:val="32"/>
          <w:szCs w:val="32"/>
          <w:lang w:val="en-US" w:eastAsia="zh-CN" w:bidi="ar-SA"/>
        </w:rPr>
      </w:pPr>
    </w:p>
    <w:p>
      <w:pPr>
        <w:keepNext w:val="0"/>
        <w:keepLines w:val="0"/>
        <w:pageBreakBefore w:val="0"/>
        <w:widowControl w:val="0"/>
        <w:kinsoku/>
        <w:wordWrap/>
        <w:overflowPunct/>
        <w:topLinePunct w:val="0"/>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bidi="ar-SA"/>
        </w:rPr>
      </w:pPr>
      <w:r>
        <w:rPr>
          <w:rFonts w:hint="default" w:ascii="Times New Roman" w:hAnsi="Times New Roman" w:eastAsia="方正小标宋_GBK" w:cs="Times New Roman"/>
          <w:sz w:val="44"/>
          <w:szCs w:val="44"/>
          <w:lang w:bidi="ar-SA"/>
        </w:rPr>
        <w:t>湖南省2021年度林业改革发展</w:t>
      </w:r>
    </w:p>
    <w:p>
      <w:pPr>
        <w:keepNext w:val="0"/>
        <w:keepLines w:val="0"/>
        <w:pageBreakBefore w:val="0"/>
        <w:widowControl w:val="0"/>
        <w:kinsoku/>
        <w:wordWrap/>
        <w:overflowPunct/>
        <w:topLinePunct w:val="0"/>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bidi="ar-SA"/>
        </w:rPr>
      </w:pPr>
      <w:r>
        <w:rPr>
          <w:rFonts w:hint="default" w:ascii="Times New Roman" w:hAnsi="Times New Roman" w:eastAsia="方正小标宋_GBK" w:cs="Times New Roman"/>
          <w:sz w:val="44"/>
          <w:szCs w:val="44"/>
          <w:lang w:bidi="ar-SA"/>
        </w:rPr>
        <w:t>（含国土绿化试点示范项目）专项转移支付</w:t>
      </w:r>
    </w:p>
    <w:p>
      <w:pPr>
        <w:keepNext w:val="0"/>
        <w:keepLines w:val="0"/>
        <w:pageBreakBefore w:val="0"/>
        <w:widowControl w:val="0"/>
        <w:kinsoku/>
        <w:wordWrap/>
        <w:overflowPunct/>
        <w:topLinePunct w:val="0"/>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bidi="ar-SA"/>
        </w:rPr>
      </w:pPr>
      <w:r>
        <w:rPr>
          <w:rFonts w:hint="default" w:ascii="Times New Roman" w:hAnsi="Times New Roman" w:eastAsia="方正小标宋_GBK" w:cs="Times New Roman"/>
          <w:sz w:val="44"/>
          <w:szCs w:val="44"/>
          <w:lang w:bidi="ar-SA"/>
        </w:rPr>
        <w:t>绩效自评报告</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小标宋_GBK" w:cs="Times New Roman"/>
          <w:sz w:val="44"/>
          <w:szCs w:val="44"/>
          <w:lang w:bidi="ar-SA"/>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根据财政部《关于开展2021年度中央对地方转移支付预算执行情况绩效自评工作的通知》（财监〔2022〕1号）文件要求，湖南省财政厅、湖南省林业局于2月23日至3月10日对2021年度中央转移支付林业改革发展资金执行情况进行了绩效自评，现将有关情况报告如下：</w:t>
      </w: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default" w:ascii="Times New Roman" w:hAnsi="Times New Roman" w:eastAsia="方正黑体_GBK" w:cs="Times New Roman"/>
          <w:sz w:val="32"/>
          <w:szCs w:val="32"/>
          <w:lang w:bidi="ar-SA"/>
        </w:rPr>
      </w:pPr>
      <w:r>
        <w:rPr>
          <w:rFonts w:hint="default" w:ascii="Times New Roman" w:hAnsi="Times New Roman" w:eastAsia="方正黑体_GBK" w:cs="Times New Roman"/>
          <w:sz w:val="32"/>
          <w:szCs w:val="32"/>
          <w:lang w:bidi="ar-SA"/>
        </w:rPr>
        <w:t>一、绩效目标分解下达情况</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default" w:ascii="Times New Roman" w:hAnsi="Times New Roman" w:eastAsia="方正楷体_GBK" w:cs="Times New Roman"/>
          <w:sz w:val="32"/>
          <w:szCs w:val="32"/>
          <w:lang w:bidi="ar-SA"/>
        </w:rPr>
      </w:pPr>
      <w:r>
        <w:rPr>
          <w:rFonts w:hint="default" w:ascii="Times New Roman" w:hAnsi="Times New Roman" w:eastAsia="方正楷体_GBK" w:cs="Times New Roman"/>
          <w:sz w:val="32"/>
          <w:szCs w:val="32"/>
          <w:lang w:bidi="ar-SA"/>
        </w:rPr>
        <w:t>（一）中央下达林业改革发展专项转移支付预算和</w:t>
      </w:r>
      <w:r>
        <w:rPr>
          <w:rFonts w:hint="default" w:ascii="Times New Roman" w:hAnsi="Times New Roman" w:eastAsia="方正楷体_GBK" w:cs="Times New Roman"/>
          <w:sz w:val="32"/>
          <w:szCs w:val="32"/>
          <w:lang w:eastAsia="zh-CN" w:bidi="ar-SA"/>
        </w:rPr>
        <w:t>我省</w:t>
      </w:r>
      <w:r>
        <w:rPr>
          <w:rFonts w:hint="default" w:ascii="Times New Roman" w:hAnsi="Times New Roman" w:eastAsia="方正楷体_GBK" w:cs="Times New Roman"/>
          <w:sz w:val="32"/>
          <w:szCs w:val="32"/>
          <w:lang w:bidi="ar-SA"/>
        </w:rPr>
        <w:t>绩效目标情况</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2021年，中央下达湖南省林业改革发展资金266108万元，</w:t>
      </w:r>
      <w:r>
        <w:rPr>
          <w:rFonts w:hint="default" w:ascii="Times New Roman" w:hAnsi="Times New Roman" w:eastAsia="方正仿宋_GBK" w:cs="Times New Roman"/>
          <w:sz w:val="32"/>
          <w:szCs w:val="32"/>
          <w:lang w:eastAsia="zh-CN" w:bidi="ar-SA"/>
        </w:rPr>
        <w:t>含</w:t>
      </w:r>
      <w:r>
        <w:rPr>
          <w:rFonts w:hint="default" w:ascii="Times New Roman" w:hAnsi="Times New Roman" w:eastAsia="方正仿宋_GBK" w:cs="Times New Roman"/>
          <w:sz w:val="32"/>
          <w:szCs w:val="32"/>
          <w:lang w:bidi="ar-SA"/>
        </w:rPr>
        <w:t>森林资源管护</w:t>
      </w:r>
      <w:r>
        <w:rPr>
          <w:rFonts w:hint="default" w:ascii="Times New Roman" w:hAnsi="Times New Roman" w:eastAsia="方正仿宋_GBK" w:cs="Times New Roman"/>
          <w:sz w:val="32"/>
          <w:szCs w:val="32"/>
          <w:lang w:eastAsia="zh-CN" w:bidi="ar-SA"/>
        </w:rPr>
        <w:t>支出、</w:t>
      </w:r>
      <w:r>
        <w:rPr>
          <w:rFonts w:hint="default" w:ascii="Times New Roman" w:hAnsi="Times New Roman" w:eastAsia="方正仿宋_GBK" w:cs="Times New Roman"/>
          <w:sz w:val="32"/>
          <w:szCs w:val="32"/>
          <w:lang w:bidi="ar-SA"/>
        </w:rPr>
        <w:t>国土绿化支出</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bidi="ar-SA"/>
        </w:rPr>
        <w:t>国家级自然保护区支出</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bidi="ar-SA"/>
        </w:rPr>
        <w:t>湿地等生态保护支出</w:t>
      </w:r>
      <w:r>
        <w:rPr>
          <w:rFonts w:hint="default" w:ascii="Times New Roman" w:hAnsi="Times New Roman" w:eastAsia="方正仿宋_GBK" w:cs="Times New Roman"/>
          <w:sz w:val="32"/>
          <w:szCs w:val="32"/>
          <w:lang w:eastAsia="zh-CN" w:bidi="ar-SA"/>
        </w:rPr>
        <w:t>等</w:t>
      </w:r>
      <w:r>
        <w:rPr>
          <w:rFonts w:hint="default" w:ascii="Times New Roman" w:hAnsi="Times New Roman" w:eastAsia="方正仿宋_GBK" w:cs="Times New Roman"/>
          <w:sz w:val="32"/>
          <w:szCs w:val="32"/>
          <w:lang w:bidi="ar-SA"/>
        </w:rPr>
        <w:t>。</w:t>
      </w:r>
      <w:r>
        <w:rPr>
          <w:rFonts w:hint="default" w:ascii="Times New Roman" w:hAnsi="Times New Roman" w:eastAsia="方正仿宋_GBK" w:cs="Times New Roman"/>
          <w:sz w:val="32"/>
          <w:szCs w:val="32"/>
          <w:lang w:eastAsia="zh-CN" w:bidi="ar-SA"/>
        </w:rPr>
        <w:t>由于省级财政森林生态效益补偿</w:t>
      </w:r>
      <w:r>
        <w:rPr>
          <w:rFonts w:hint="default" w:ascii="Times New Roman" w:hAnsi="Times New Roman" w:eastAsia="方正仿宋_GBK" w:cs="Times New Roman"/>
          <w:sz w:val="32"/>
          <w:szCs w:val="32"/>
          <w:lang w:val="en-US" w:eastAsia="zh-CN" w:bidi="ar-SA"/>
        </w:rPr>
        <w:t>41004.75万元与中央财政森林生态效益补偿资金一并进行安排下达和使用管理，故此次纳入绩效自评范围自评金额合计为307112.75万元。中央下达给我省中央转移支付林业改革发展资金年度总体绩效目标为</w:t>
      </w:r>
      <w:r>
        <w:rPr>
          <w:rFonts w:hint="default" w:ascii="Times New Roman" w:hAnsi="Times New Roman" w:eastAsia="方正仿宋_GBK" w:cs="Times New Roman"/>
          <w:sz w:val="32"/>
          <w:szCs w:val="32"/>
          <w:lang w:bidi="ar-SA"/>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val="en-US" w:eastAsia="zh-CN" w:bidi="ar-SA"/>
        </w:rPr>
        <w:t>1.</w:t>
      </w:r>
      <w:r>
        <w:rPr>
          <w:rFonts w:hint="default" w:ascii="Times New Roman" w:hAnsi="Times New Roman" w:eastAsia="方正仿宋_GBK" w:cs="Times New Roman"/>
          <w:sz w:val="32"/>
          <w:szCs w:val="32"/>
          <w:lang w:bidi="ar-SA"/>
        </w:rPr>
        <w:t>加强森林资源管护，落实纳入森林资源管护补助的天保工程区外森林管护，国家级公益林森林生态效益补偿；</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val="en-US" w:eastAsia="zh-CN" w:bidi="ar-SA"/>
        </w:rPr>
        <w:t>2.</w:t>
      </w:r>
      <w:r>
        <w:rPr>
          <w:rFonts w:hint="default" w:ascii="Times New Roman" w:hAnsi="Times New Roman" w:eastAsia="方正仿宋_GBK" w:cs="Times New Roman"/>
          <w:sz w:val="32"/>
          <w:szCs w:val="32"/>
          <w:lang w:bidi="ar-SA"/>
        </w:rPr>
        <w:t>推进大规模国土绿化，完成造林、森林抚育约束性指标任务，提升林木良种培育能力和林木良种使用率，推进油茶林营造；</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val="en-US" w:eastAsia="zh-CN" w:bidi="ar-SA"/>
        </w:rPr>
        <w:t>3.</w:t>
      </w:r>
      <w:r>
        <w:rPr>
          <w:rFonts w:hint="default" w:ascii="Times New Roman" w:hAnsi="Times New Roman" w:eastAsia="方正仿宋_GBK" w:cs="Times New Roman"/>
          <w:sz w:val="32"/>
          <w:szCs w:val="32"/>
          <w:lang w:bidi="ar-SA"/>
        </w:rPr>
        <w:t>对国家级自然保护区开展能力建设；</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val="en-US" w:eastAsia="zh-CN" w:bidi="ar-SA"/>
        </w:rPr>
        <w:t>4.</w:t>
      </w:r>
      <w:r>
        <w:rPr>
          <w:rFonts w:hint="default" w:ascii="Times New Roman" w:hAnsi="Times New Roman" w:eastAsia="方正仿宋_GBK" w:cs="Times New Roman"/>
          <w:sz w:val="32"/>
          <w:szCs w:val="32"/>
          <w:lang w:bidi="ar-SA"/>
        </w:rPr>
        <w:t>开展湿地等生态保护体系建设，实施湿地生态效益补偿和湿地保护与恢复项目，实施林业科技推广项目，加快科技成果转化；</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val="en-US" w:eastAsia="zh-CN" w:bidi="ar-SA"/>
        </w:rPr>
        <w:t>5.</w:t>
      </w:r>
      <w:r>
        <w:rPr>
          <w:rFonts w:hint="default" w:ascii="Times New Roman" w:hAnsi="Times New Roman" w:eastAsia="方正仿宋_GBK" w:cs="Times New Roman"/>
          <w:sz w:val="32"/>
          <w:szCs w:val="32"/>
          <w:lang w:bidi="ar-SA"/>
        </w:rPr>
        <w:t>加强森林火灾预防和国家重点野生动植物保护。</w:t>
      </w:r>
    </w:p>
    <w:p>
      <w:pPr>
        <w:keepNext w:val="0"/>
        <w:keepLines w:val="0"/>
        <w:pageBreakBefore w:val="0"/>
        <w:widowControl w:val="0"/>
        <w:tabs>
          <w:tab w:val="left" w:pos="7080"/>
        </w:tabs>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0"/>
        <w:rPr>
          <w:rFonts w:hint="default" w:ascii="Times New Roman" w:hAnsi="Times New Roman" w:eastAsia="方正楷体_GBK" w:cs="Times New Roman"/>
          <w:sz w:val="32"/>
          <w:szCs w:val="32"/>
          <w:lang w:bidi="ar-SA"/>
        </w:rPr>
      </w:pPr>
      <w:r>
        <w:rPr>
          <w:rFonts w:hint="default" w:ascii="Times New Roman" w:hAnsi="Times New Roman" w:eastAsia="方正楷体_GBK" w:cs="Times New Roman"/>
          <w:sz w:val="32"/>
          <w:szCs w:val="32"/>
          <w:lang w:bidi="ar-SA"/>
        </w:rPr>
        <w:t>（二）</w:t>
      </w:r>
      <w:r>
        <w:rPr>
          <w:rFonts w:hint="default" w:ascii="Times New Roman" w:hAnsi="Times New Roman" w:eastAsia="方正楷体_GBK" w:cs="Times New Roman"/>
          <w:sz w:val="32"/>
          <w:szCs w:val="32"/>
          <w:lang w:eastAsia="zh-CN" w:bidi="ar-SA"/>
        </w:rPr>
        <w:t>我省</w:t>
      </w:r>
      <w:r>
        <w:rPr>
          <w:rFonts w:hint="default" w:ascii="Times New Roman" w:hAnsi="Times New Roman" w:eastAsia="方正楷体_GBK" w:cs="Times New Roman"/>
          <w:sz w:val="32"/>
          <w:szCs w:val="32"/>
          <w:lang w:bidi="ar-SA"/>
        </w:rPr>
        <w:t>资金安排、分解下达预算和绩效目标情况</w:t>
      </w:r>
    </w:p>
    <w:p>
      <w:pPr>
        <w:keepNext w:val="0"/>
        <w:keepLines w:val="0"/>
        <w:pageBreakBefore w:val="0"/>
        <w:widowControl w:val="0"/>
        <w:shd w:val="clear" w:color="auto" w:fill="auto"/>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default" w:ascii="Times New Roman" w:hAnsi="Times New Roman" w:eastAsia="方正仿宋_GBK" w:cs="Times New Roman"/>
          <w:sz w:val="32"/>
          <w:szCs w:val="32"/>
          <w:lang w:eastAsia="zh-CN" w:bidi="ar-SA"/>
        </w:rPr>
      </w:pPr>
      <w:r>
        <w:rPr>
          <w:rFonts w:hint="default" w:ascii="Times New Roman" w:hAnsi="Times New Roman" w:eastAsia="方正仿宋_GBK" w:cs="Times New Roman"/>
          <w:sz w:val="32"/>
          <w:szCs w:val="32"/>
          <w:lang w:bidi="ar-SA"/>
        </w:rPr>
        <w:t>湖南省财政厅会同省林业局</w:t>
      </w:r>
      <w:r>
        <w:rPr>
          <w:rFonts w:hint="default" w:ascii="Times New Roman" w:hAnsi="Times New Roman" w:eastAsia="方正仿宋_GBK" w:cs="Times New Roman"/>
          <w:sz w:val="32"/>
          <w:szCs w:val="32"/>
          <w:lang w:eastAsia="zh-CN" w:bidi="ar-SA"/>
        </w:rPr>
        <w:t>认真研究，</w:t>
      </w:r>
      <w:r>
        <w:rPr>
          <w:rFonts w:hint="default" w:ascii="Times New Roman" w:hAnsi="Times New Roman" w:eastAsia="方正仿宋_GBK" w:cs="Times New Roman"/>
          <w:sz w:val="32"/>
          <w:szCs w:val="32"/>
          <w:lang w:bidi="ar-SA"/>
        </w:rPr>
        <w:t>提出</w:t>
      </w:r>
      <w:r>
        <w:rPr>
          <w:rFonts w:hint="default" w:ascii="Times New Roman" w:hAnsi="Times New Roman" w:eastAsia="方正仿宋_GBK" w:cs="Times New Roman"/>
          <w:sz w:val="32"/>
          <w:szCs w:val="32"/>
          <w:lang w:eastAsia="zh-CN" w:bidi="ar-SA"/>
        </w:rPr>
        <w:t>了</w:t>
      </w:r>
      <w:r>
        <w:rPr>
          <w:rFonts w:hint="default" w:ascii="Times New Roman" w:hAnsi="Times New Roman" w:eastAsia="方正仿宋_GBK" w:cs="Times New Roman"/>
          <w:sz w:val="32"/>
          <w:szCs w:val="32"/>
          <w:lang w:bidi="ar-SA"/>
        </w:rPr>
        <w:t>资金分配原则和方案</w:t>
      </w:r>
      <w:r>
        <w:rPr>
          <w:rFonts w:hint="default" w:ascii="Times New Roman" w:hAnsi="Times New Roman" w:eastAsia="方正仿宋_GBK" w:cs="Times New Roman"/>
          <w:sz w:val="32"/>
          <w:szCs w:val="32"/>
          <w:lang w:eastAsia="zh-CN" w:bidi="ar-SA"/>
        </w:rPr>
        <w:t>，并同步</w:t>
      </w:r>
      <w:r>
        <w:rPr>
          <w:rFonts w:hint="default" w:ascii="Times New Roman" w:hAnsi="Times New Roman" w:eastAsia="方正仿宋_GBK" w:cs="Times New Roman"/>
          <w:sz w:val="32"/>
          <w:szCs w:val="32"/>
          <w:lang w:bidi="ar-SA"/>
        </w:rPr>
        <w:t>分解下达</w:t>
      </w:r>
      <w:r>
        <w:rPr>
          <w:rFonts w:hint="default" w:ascii="Times New Roman" w:hAnsi="Times New Roman" w:eastAsia="方正仿宋_GBK" w:cs="Times New Roman"/>
          <w:sz w:val="32"/>
          <w:szCs w:val="32"/>
          <w:lang w:eastAsia="zh-CN" w:bidi="ar-SA"/>
        </w:rPr>
        <w:t>了</w:t>
      </w:r>
      <w:r>
        <w:rPr>
          <w:rFonts w:hint="default" w:ascii="Times New Roman" w:hAnsi="Times New Roman" w:eastAsia="方正仿宋_GBK" w:cs="Times New Roman"/>
          <w:sz w:val="32"/>
          <w:szCs w:val="32"/>
          <w:lang w:bidi="ar-SA"/>
        </w:rPr>
        <w:t>项目资金及</w:t>
      </w:r>
      <w:r>
        <w:rPr>
          <w:rFonts w:hint="default" w:ascii="Times New Roman" w:hAnsi="Times New Roman" w:eastAsia="方正仿宋_GBK" w:cs="Times New Roman"/>
          <w:sz w:val="32"/>
          <w:szCs w:val="32"/>
          <w:lang w:eastAsia="zh-CN" w:bidi="ar-SA"/>
        </w:rPr>
        <w:t>约束性指标</w:t>
      </w:r>
      <w:r>
        <w:rPr>
          <w:rFonts w:hint="default" w:ascii="Times New Roman" w:hAnsi="Times New Roman" w:eastAsia="方正仿宋_GBK" w:cs="Times New Roman"/>
          <w:sz w:val="32"/>
          <w:szCs w:val="32"/>
          <w:lang w:bidi="ar-SA"/>
        </w:rPr>
        <w:t>，</w:t>
      </w:r>
      <w:r>
        <w:rPr>
          <w:rFonts w:hint="default" w:ascii="Times New Roman" w:hAnsi="Times New Roman" w:eastAsia="方正仿宋_GBK" w:cs="Times New Roman"/>
          <w:sz w:val="32"/>
          <w:szCs w:val="32"/>
          <w:lang w:eastAsia="zh-CN" w:bidi="ar-SA"/>
        </w:rPr>
        <w:t>具体情况见表</w:t>
      </w:r>
      <w:r>
        <w:rPr>
          <w:rFonts w:hint="default" w:ascii="Times New Roman" w:hAnsi="Times New Roman" w:eastAsia="方正仿宋_GBK" w:cs="Times New Roman"/>
          <w:sz w:val="32"/>
          <w:szCs w:val="32"/>
          <w:lang w:val="en-US" w:eastAsia="zh-CN" w:bidi="ar-SA"/>
        </w:rPr>
        <w:t>1</w:t>
      </w:r>
      <w:r>
        <w:rPr>
          <w:rFonts w:hint="default" w:ascii="Times New Roman" w:hAnsi="Times New Roman" w:eastAsia="方正仿宋_GBK" w:cs="Times New Roman"/>
          <w:sz w:val="32"/>
          <w:szCs w:val="32"/>
          <w:lang w:eastAsia="zh-CN" w:bidi="ar-SA"/>
        </w:rPr>
        <w:t>：</w:t>
      </w:r>
    </w:p>
    <w:p>
      <w:pPr>
        <w:pStyle w:val="6"/>
        <w:shd w:val="clear" w:color="auto" w:fill="auto"/>
        <w:ind w:left="0" w:leftChars="0" w:firstLine="0" w:firstLineChars="0"/>
        <w:jc w:val="center"/>
        <w:rPr>
          <w:rFonts w:hint="default" w:ascii="Times New Roman" w:hAnsi="Times New Roman" w:eastAsia="方正仿宋_GBK" w:cs="Times New Roman"/>
          <w:b/>
          <w:bCs/>
          <w:lang w:val="en-US" w:eastAsia="zh-CN"/>
        </w:rPr>
      </w:pPr>
      <w:r>
        <w:rPr>
          <w:rFonts w:hint="default" w:ascii="Times New Roman" w:hAnsi="Times New Roman" w:eastAsia="方正仿宋_GBK" w:cs="Times New Roman"/>
          <w:b/>
          <w:bCs/>
          <w:sz w:val="32"/>
          <w:szCs w:val="32"/>
          <w:lang w:eastAsia="zh-CN" w:bidi="ar-SA"/>
        </w:rPr>
        <w:t>表</w:t>
      </w:r>
      <w:r>
        <w:rPr>
          <w:rFonts w:hint="default" w:ascii="Times New Roman" w:hAnsi="Times New Roman" w:eastAsia="方正仿宋_GBK" w:cs="Times New Roman"/>
          <w:b/>
          <w:bCs/>
          <w:sz w:val="32"/>
          <w:szCs w:val="32"/>
          <w:lang w:val="en-US" w:eastAsia="zh-CN" w:bidi="ar-SA"/>
        </w:rPr>
        <w:t>1：2021年</w:t>
      </w:r>
      <w:r>
        <w:rPr>
          <w:rFonts w:hint="default" w:ascii="Times New Roman" w:hAnsi="Times New Roman" w:eastAsia="方正仿宋_GBK" w:cs="Times New Roman"/>
          <w:b/>
          <w:bCs/>
          <w:sz w:val="32"/>
          <w:szCs w:val="32"/>
          <w:lang w:eastAsia="zh-CN" w:bidi="ar-SA"/>
        </w:rPr>
        <w:t>林业改革发展</w:t>
      </w:r>
      <w:r>
        <w:rPr>
          <w:rFonts w:hint="default" w:ascii="Times New Roman" w:hAnsi="Times New Roman" w:eastAsia="方正仿宋_GBK" w:cs="Times New Roman"/>
          <w:b/>
          <w:bCs/>
          <w:sz w:val="32"/>
          <w:szCs w:val="32"/>
          <w:lang w:bidi="ar-SA"/>
        </w:rPr>
        <w:t>资金明细表</w:t>
      </w:r>
      <w:r>
        <w:rPr>
          <w:rFonts w:hint="default" w:ascii="Times New Roman" w:hAnsi="Times New Roman" w:eastAsia="方正仿宋_GBK" w:cs="Times New Roman"/>
          <w:b/>
          <w:bCs/>
          <w:sz w:val="32"/>
          <w:szCs w:val="32"/>
          <w:lang w:eastAsia="zh-CN" w:bidi="ar-SA"/>
        </w:rPr>
        <w:t>（含</w:t>
      </w:r>
      <w:r>
        <w:rPr>
          <w:rFonts w:hint="default" w:ascii="Times New Roman" w:hAnsi="Times New Roman" w:eastAsia="方正仿宋_GBK" w:cs="Times New Roman"/>
          <w:b/>
          <w:bCs/>
          <w:sz w:val="32"/>
          <w:szCs w:val="32"/>
          <w:lang w:bidi="ar-SA"/>
        </w:rPr>
        <w:t>省级配套资金</w:t>
      </w:r>
      <w:r>
        <w:rPr>
          <w:rFonts w:hint="default" w:ascii="Times New Roman" w:hAnsi="Times New Roman" w:eastAsia="方正仿宋_GBK" w:cs="Times New Roman"/>
          <w:b/>
          <w:bCs/>
          <w:sz w:val="32"/>
          <w:szCs w:val="32"/>
          <w:lang w:eastAsia="zh-CN" w:bidi="ar-SA"/>
        </w:rPr>
        <w:t>）</w:t>
      </w:r>
    </w:p>
    <w:tbl>
      <w:tblPr>
        <w:tblStyle w:val="4"/>
        <w:tblW w:w="88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5"/>
        <w:gridCol w:w="3716"/>
        <w:gridCol w:w="2850"/>
        <w:gridCol w:w="14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blHeader/>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序号</w:t>
            </w:r>
          </w:p>
        </w:tc>
        <w:tc>
          <w:tcPr>
            <w:tcW w:w="37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项目名称</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文号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金额</w:t>
            </w:r>
            <w:r>
              <w:rPr>
                <w:rStyle w:val="8"/>
                <w:rFonts w:hint="default" w:ascii="Times New Roman" w:hAnsi="Times New Roman" w:eastAsia="方正黑体_GBK" w:cs="Times New Roman"/>
                <w:b w:val="0"/>
                <w:bCs/>
                <w:sz w:val="24"/>
                <w:szCs w:val="24"/>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exac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黑体_GBK" w:cs="Times New Roman"/>
                <w:b w:val="0"/>
                <w:bCs/>
                <w:i w:val="0"/>
                <w:color w:val="000000"/>
                <w:sz w:val="24"/>
                <w:szCs w:val="24"/>
                <w:u w:val="none"/>
              </w:rPr>
            </w:pPr>
          </w:p>
        </w:tc>
        <w:tc>
          <w:tcPr>
            <w:tcW w:w="37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合计</w:t>
            </w:r>
          </w:p>
        </w:tc>
        <w:tc>
          <w:tcPr>
            <w:tcW w:w="2850" w:type="dxa"/>
            <w:tcBorders>
              <w:top w:val="single" w:color="000000" w:sz="4" w:space="0"/>
              <w:left w:val="single" w:color="000000" w:sz="4" w:space="0"/>
              <w:bottom w:val="single" w:color="000000" w:sz="4" w:space="0"/>
              <w:right w:val="single" w:color="000000" w:sz="4" w:space="0"/>
            </w:tcBorders>
            <w:vAlign w:val="center"/>
          </w:tcPr>
          <w:p>
            <w:pPr>
              <w:shd w:val="clear" w:color="auto" w:fill="auto"/>
              <w:jc w:val="left"/>
              <w:rPr>
                <w:rFonts w:hint="default" w:ascii="Times New Roman" w:hAnsi="Times New Roman" w:eastAsia="方正黑体_GBK" w:cs="Times New Roman"/>
                <w:b w:val="0"/>
                <w:bCs/>
                <w:i w:val="0"/>
                <w:color w:val="000000"/>
                <w:sz w:val="24"/>
                <w:szCs w:val="24"/>
                <w:u w:val="none"/>
              </w:rPr>
            </w:pP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黑体_GBK" w:cs="Times New Roman"/>
                <w:b w:val="0"/>
                <w:bCs/>
                <w:i w:val="0"/>
                <w:color w:val="000000"/>
                <w:sz w:val="24"/>
                <w:szCs w:val="24"/>
                <w:u w:val="none"/>
                <w:lang w:val="en-US"/>
              </w:rPr>
            </w:pPr>
            <w:r>
              <w:rPr>
                <w:rFonts w:hint="default" w:ascii="Times New Roman" w:hAnsi="Times New Roman" w:eastAsia="方正黑体_GBK" w:cs="Times New Roman"/>
                <w:b w:val="0"/>
                <w:bCs/>
                <w:i w:val="0"/>
                <w:color w:val="000000"/>
                <w:kern w:val="0"/>
                <w:sz w:val="24"/>
                <w:szCs w:val="24"/>
                <w:u w:val="none"/>
                <w:lang w:val="en-US" w:eastAsia="zh-CN" w:bidi="ar"/>
              </w:rPr>
              <w:t>307112.75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w:t>
            </w:r>
          </w:p>
        </w:tc>
        <w:tc>
          <w:tcPr>
            <w:tcW w:w="3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森林生态效益补偿（中央资金）</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湘财预[2020]330号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90366.33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left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湘财资环指[2020] 61号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470.77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left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restart"/>
            <w:tcBorders>
              <w:top w:val="single" w:color="000000" w:sz="4" w:space="0"/>
              <w:left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森林生态效益补偿（省级资金）</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湘财预[2020]330号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38056.51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left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left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kern w:val="0"/>
                <w:sz w:val="24"/>
                <w:szCs w:val="24"/>
                <w:u w:val="none"/>
                <w:lang w:val="en-US" w:eastAsia="zh-CN" w:bidi="ar"/>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湘财资环指[2020] 61号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686.05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left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湘财资环指[2021]9号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1408.19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tcBorders>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pStyle w:val="3"/>
              <w:keepNext w:val="0"/>
              <w:keepLines w:val="0"/>
              <w:widowControl/>
              <w:suppressLineNumbers w:val="0"/>
              <w:shd w:val="clear" w:color="auto" w:fill="FFFFFF"/>
              <w:wordWrap/>
              <w:spacing w:before="0" w:beforeAutospacing="0" w:after="0" w:afterAutospacing="0"/>
              <w:ind w:left="0" w:right="0" w:firstLine="0"/>
              <w:jc w:val="left"/>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湘财预〔2021〕13号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854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w:t>
            </w:r>
          </w:p>
        </w:tc>
        <w:tc>
          <w:tcPr>
            <w:tcW w:w="3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天然商品林停伐管护补助</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湘财预[2020]330号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49774.85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湘财资环指[2020] 61号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w:t>
            </w:r>
          </w:p>
        </w:tc>
        <w:tc>
          <w:tcPr>
            <w:tcW w:w="3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林木良种补助</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湘财预[2021]185号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湘财资环指[2020] 62号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w:t>
            </w:r>
          </w:p>
        </w:tc>
        <w:tc>
          <w:tcPr>
            <w:tcW w:w="3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造林补助</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湘财预[2020]330号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33408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湘财资环指[2020] 61号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w:t>
            </w:r>
          </w:p>
        </w:tc>
        <w:tc>
          <w:tcPr>
            <w:tcW w:w="37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国土绿化试点示范</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湘财预[2021]112号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6</w:t>
            </w:r>
          </w:p>
        </w:tc>
        <w:tc>
          <w:tcPr>
            <w:tcW w:w="3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森林抚育补助</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湘财预[2020]330号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31364.07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湘财资环指[2020] 61号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森林抚育补助（上一轮退耕还林</w:t>
            </w:r>
          </w:p>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1"/>
                <w:szCs w:val="21"/>
                <w:u w:val="none"/>
                <w:lang w:val="en-US" w:eastAsia="zh-CN" w:bidi="ar"/>
              </w:rPr>
              <w:t>纳入森林抚育）</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湘财预[2020]330号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6536.93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7</w:t>
            </w:r>
          </w:p>
        </w:tc>
        <w:tc>
          <w:tcPr>
            <w:tcW w:w="37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油茶林营造补助</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8</w:t>
            </w:r>
          </w:p>
        </w:tc>
        <w:tc>
          <w:tcPr>
            <w:tcW w:w="3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国家级自然保护区补助</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湘财预[2021]185号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1489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湘财资环指[2020] 62号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w:t>
            </w:r>
          </w:p>
        </w:tc>
        <w:tc>
          <w:tcPr>
            <w:tcW w:w="3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湿地保护修复补助</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湘财预[2021]185号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10</w:t>
            </w:r>
          </w:p>
        </w:tc>
        <w:tc>
          <w:tcPr>
            <w:tcW w:w="3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森林防火补助</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湘财资环指[2020] 62号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11</w:t>
            </w:r>
          </w:p>
        </w:tc>
        <w:tc>
          <w:tcPr>
            <w:tcW w:w="3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林业有害生物防治补助</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湘财预[2021]185号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2059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湘财资环指[2020] 62号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12</w:t>
            </w:r>
          </w:p>
        </w:tc>
        <w:tc>
          <w:tcPr>
            <w:tcW w:w="3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国家重点野生动植物保护补助</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690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湘财预[2021]185号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湘财资环指[2020] 62号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13</w:t>
            </w:r>
          </w:p>
        </w:tc>
        <w:tc>
          <w:tcPr>
            <w:tcW w:w="3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林业科技推广示范补助</w:t>
            </w: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湘财预[2020]335号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湘财预[2021]185号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3716" w:type="dxa"/>
            <w:vMerge w:val="continue"/>
            <w:tcBorders>
              <w:top w:val="single" w:color="000000" w:sz="4" w:space="0"/>
              <w:left w:val="single" w:color="000000" w:sz="4" w:space="0"/>
              <w:bottom w:val="single" w:color="000000" w:sz="4" w:space="0"/>
              <w:right w:val="single" w:color="000000" w:sz="4"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28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湘财资环指[2020] 62号</w:t>
            </w:r>
          </w:p>
        </w:tc>
        <w:tc>
          <w:tcPr>
            <w:tcW w:w="14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430</w:t>
            </w:r>
          </w:p>
        </w:tc>
      </w:tr>
    </w:tbl>
    <w:p>
      <w:pPr>
        <w:keepNext w:val="0"/>
        <w:keepLines w:val="0"/>
        <w:pageBreakBefore w:val="0"/>
        <w:widowControl w:val="0"/>
        <w:shd w:val="solid" w:color="FFFFFF" w:fill="auto"/>
        <w:kinsoku/>
        <w:wordWrap/>
        <w:overflowPunct/>
        <w:topLinePunct w:val="0"/>
        <w:autoSpaceDE/>
        <w:autoSpaceDN w:val="0"/>
        <w:bidi w:val="0"/>
        <w:adjustRightInd/>
        <w:snapToGrid/>
        <w:spacing w:line="540" w:lineRule="exact"/>
        <w:ind w:left="0" w:leftChars="0" w:right="0" w:rightChars="0" w:firstLine="585" w:firstLineChars="0"/>
        <w:rPr>
          <w:rFonts w:hint="default" w:ascii="Times New Roman" w:hAnsi="Times New Roman" w:eastAsia="方正黑体_GBK" w:cs="Times New Roman"/>
          <w:sz w:val="32"/>
          <w:szCs w:val="32"/>
          <w:lang w:bidi="ar-SA"/>
        </w:rPr>
      </w:pPr>
      <w:r>
        <w:rPr>
          <w:rFonts w:hint="default" w:ascii="Times New Roman" w:hAnsi="Times New Roman" w:eastAsia="方正黑体_GBK" w:cs="Times New Roman"/>
          <w:sz w:val="32"/>
          <w:szCs w:val="32"/>
          <w:lang w:bidi="ar-SA"/>
        </w:rPr>
        <w:t>二、绩效目标完成情况分析</w:t>
      </w:r>
    </w:p>
    <w:p>
      <w:pPr>
        <w:keepNext w:val="0"/>
        <w:keepLines w:val="0"/>
        <w:pageBreakBefore w:val="0"/>
        <w:widowControl w:val="0"/>
        <w:kinsoku/>
        <w:wordWrap/>
        <w:overflowPunct/>
        <w:topLinePunct w:val="0"/>
        <w:autoSpaceDE/>
        <w:bidi w:val="0"/>
        <w:adjustRightInd/>
        <w:snapToGrid/>
        <w:spacing w:line="540" w:lineRule="exact"/>
        <w:ind w:left="0" w:leftChars="0" w:right="0" w:rightChars="0" w:firstLine="640" w:firstLineChars="200"/>
        <w:outlineLvl w:val="0"/>
        <w:rPr>
          <w:rFonts w:hint="default" w:ascii="Times New Roman" w:hAnsi="Times New Roman" w:eastAsia="方正楷体_GBK" w:cs="Times New Roman"/>
          <w:sz w:val="32"/>
          <w:szCs w:val="32"/>
          <w:lang w:bidi="ar-SA"/>
        </w:rPr>
      </w:pPr>
      <w:r>
        <w:rPr>
          <w:rFonts w:hint="default" w:ascii="Times New Roman" w:hAnsi="Times New Roman" w:eastAsia="方正楷体_GBK" w:cs="Times New Roman"/>
          <w:sz w:val="32"/>
          <w:szCs w:val="32"/>
          <w:lang w:bidi="ar-SA"/>
        </w:rPr>
        <w:t>（一）资金投入情况分析</w:t>
      </w:r>
    </w:p>
    <w:p>
      <w:pPr>
        <w:keepNext w:val="0"/>
        <w:keepLines w:val="0"/>
        <w:pageBreakBefore w:val="0"/>
        <w:widowControl w:val="0"/>
        <w:kinsoku/>
        <w:wordWrap/>
        <w:overflowPunct/>
        <w:topLinePunct w:val="0"/>
        <w:autoSpaceDE/>
        <w:bidi w:val="0"/>
        <w:adjustRightInd/>
        <w:snapToGrid/>
        <w:spacing w:line="540" w:lineRule="exact"/>
        <w:ind w:left="0" w:leftChars="0" w:right="0" w:rightChars="0" w:firstLine="640" w:firstLineChars="200"/>
        <w:rPr>
          <w:rFonts w:hint="default" w:ascii="Times New Roman" w:hAnsi="Times New Roman" w:eastAsia="方正仿宋_GBK" w:cs="Times New Roman"/>
          <w:sz w:val="32"/>
          <w:szCs w:val="32"/>
          <w:lang w:eastAsia="zh-CN" w:bidi="ar-SA"/>
        </w:rPr>
      </w:pPr>
      <w:r>
        <w:rPr>
          <w:rFonts w:hint="default" w:ascii="Times New Roman" w:hAnsi="Times New Roman" w:eastAsia="方正仿宋_GBK" w:cs="Times New Roman"/>
          <w:sz w:val="32"/>
          <w:szCs w:val="32"/>
          <w:lang w:bidi="ar-SA"/>
        </w:rPr>
        <w:t>1.项目资金</w:t>
      </w:r>
      <w:r>
        <w:rPr>
          <w:rFonts w:hint="default" w:ascii="Times New Roman" w:hAnsi="Times New Roman" w:eastAsia="方正仿宋_GBK" w:cs="Times New Roman"/>
          <w:sz w:val="32"/>
          <w:szCs w:val="32"/>
          <w:lang w:eastAsia="zh-CN" w:bidi="ar-SA"/>
        </w:rPr>
        <w:t>执行情况</w:t>
      </w:r>
    </w:p>
    <w:p>
      <w:pPr>
        <w:keepNext w:val="0"/>
        <w:keepLines w:val="0"/>
        <w:pageBreakBefore w:val="0"/>
        <w:widowControl w:val="0"/>
        <w:kinsoku/>
        <w:wordWrap/>
        <w:overflowPunct/>
        <w:topLinePunct w:val="0"/>
        <w:autoSpaceDE/>
        <w:bidi w:val="0"/>
        <w:adjustRightInd/>
        <w:snapToGrid/>
        <w:spacing w:line="540" w:lineRule="exact"/>
        <w:ind w:left="0" w:leftChars="0" w:right="0" w:rightChars="0" w:firstLine="640" w:firstLineChars="200"/>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val="en-US" w:eastAsia="zh-CN" w:bidi="ar-SA"/>
        </w:rPr>
        <w:t>1</w:t>
      </w:r>
      <w:r>
        <w:rPr>
          <w:rFonts w:hint="default" w:ascii="Times New Roman" w:hAnsi="Times New Roman" w:eastAsia="方正仿宋_GBK" w:cs="Times New Roman"/>
          <w:sz w:val="32"/>
          <w:szCs w:val="32"/>
          <w:lang w:eastAsia="zh-CN" w:bidi="ar-SA"/>
        </w:rPr>
        <w:t>）项目资金</w:t>
      </w:r>
      <w:r>
        <w:rPr>
          <w:rFonts w:hint="default" w:ascii="Times New Roman" w:hAnsi="Times New Roman" w:eastAsia="方正仿宋_GBK" w:cs="Times New Roman"/>
          <w:sz w:val="32"/>
          <w:szCs w:val="32"/>
          <w:lang w:bidi="ar-SA"/>
        </w:rPr>
        <w:t>到位情况</w:t>
      </w:r>
    </w:p>
    <w:p>
      <w:pPr>
        <w:keepNext w:val="0"/>
        <w:keepLines w:val="0"/>
        <w:pageBreakBefore w:val="0"/>
        <w:widowControl w:val="0"/>
        <w:kinsoku/>
        <w:wordWrap/>
        <w:overflowPunct/>
        <w:topLinePunct w:val="0"/>
        <w:autoSpaceDE/>
        <w:bidi w:val="0"/>
        <w:adjustRightInd/>
        <w:snapToGrid/>
        <w:spacing w:line="540" w:lineRule="exact"/>
        <w:ind w:left="0" w:leftChars="0" w:right="0" w:rightChars="0" w:firstLine="640" w:firstLineChars="200"/>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2021年</w:t>
      </w:r>
      <w:r>
        <w:rPr>
          <w:rFonts w:hint="default" w:ascii="Times New Roman" w:hAnsi="Times New Roman" w:eastAsia="方正仿宋_GBK" w:cs="Times New Roman"/>
          <w:sz w:val="32"/>
          <w:szCs w:val="32"/>
          <w:lang w:eastAsia="zh-CN" w:bidi="ar-SA"/>
        </w:rPr>
        <w:t>，中央</w:t>
      </w:r>
      <w:r>
        <w:rPr>
          <w:rFonts w:hint="default" w:ascii="Times New Roman" w:hAnsi="Times New Roman" w:eastAsia="方正仿宋_GBK" w:cs="Times New Roman"/>
          <w:sz w:val="32"/>
          <w:szCs w:val="32"/>
          <w:lang w:bidi="ar-SA"/>
        </w:rPr>
        <w:t>林业改革发展专项及省级配套资金应到位</w:t>
      </w:r>
      <w:r>
        <w:rPr>
          <w:rFonts w:hint="default" w:ascii="Times New Roman" w:hAnsi="Times New Roman" w:eastAsia="方正仿宋_GBK" w:cs="Times New Roman"/>
          <w:sz w:val="32"/>
          <w:szCs w:val="32"/>
          <w:lang w:val="en-US" w:eastAsia="zh-CN" w:bidi="ar-SA"/>
        </w:rPr>
        <w:t>307112.75</w:t>
      </w:r>
      <w:r>
        <w:rPr>
          <w:rFonts w:hint="default" w:ascii="Times New Roman" w:hAnsi="Times New Roman" w:eastAsia="方正仿宋_GBK" w:cs="Times New Roman"/>
          <w:sz w:val="32"/>
          <w:szCs w:val="32"/>
          <w:lang w:bidi="ar-SA"/>
        </w:rPr>
        <w:t>万元</w:t>
      </w:r>
      <w:r>
        <w:rPr>
          <w:rFonts w:hint="default" w:ascii="Times New Roman" w:hAnsi="Times New Roman" w:eastAsia="方正仿宋_GBK" w:cs="Times New Roman"/>
          <w:sz w:val="32"/>
          <w:szCs w:val="32"/>
          <w:lang w:eastAsia="zh-CN" w:bidi="ar-SA"/>
        </w:rPr>
        <w:t>（含中央资金</w:t>
      </w:r>
      <w:r>
        <w:rPr>
          <w:rFonts w:hint="default" w:ascii="Times New Roman" w:hAnsi="Times New Roman" w:eastAsia="方正仿宋_GBK" w:cs="Times New Roman"/>
          <w:sz w:val="32"/>
          <w:szCs w:val="32"/>
          <w:lang w:val="en-US" w:eastAsia="zh-CN" w:bidi="ar-SA"/>
        </w:rPr>
        <w:t>266108万元，</w:t>
      </w:r>
      <w:r>
        <w:rPr>
          <w:rFonts w:hint="default" w:ascii="Times New Roman" w:hAnsi="Times New Roman" w:eastAsia="方正仿宋_GBK" w:cs="Times New Roman"/>
          <w:sz w:val="32"/>
          <w:szCs w:val="32"/>
          <w:lang w:bidi="ar-SA"/>
        </w:rPr>
        <w:t>省级配套资金</w:t>
      </w:r>
      <w:r>
        <w:rPr>
          <w:rFonts w:hint="default" w:ascii="Times New Roman" w:hAnsi="Times New Roman" w:eastAsia="方正仿宋_GBK" w:cs="Times New Roman"/>
          <w:sz w:val="32"/>
          <w:szCs w:val="32"/>
          <w:lang w:val="en-US" w:eastAsia="zh-CN" w:bidi="ar-SA"/>
        </w:rPr>
        <w:t>41004.75万元</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bidi="ar-SA"/>
        </w:rPr>
        <w:t>，实际到位</w:t>
      </w:r>
      <w:r>
        <w:rPr>
          <w:rFonts w:hint="default" w:ascii="Times New Roman" w:hAnsi="Times New Roman" w:eastAsia="方正仿宋_GBK" w:cs="Times New Roman"/>
          <w:sz w:val="32"/>
          <w:szCs w:val="32"/>
          <w:lang w:val="en-US" w:eastAsia="zh-CN" w:bidi="ar-SA"/>
        </w:rPr>
        <w:t>307112.75</w:t>
      </w:r>
      <w:r>
        <w:rPr>
          <w:rFonts w:hint="default" w:ascii="Times New Roman" w:hAnsi="Times New Roman" w:eastAsia="方正仿宋_GBK" w:cs="Times New Roman"/>
          <w:sz w:val="32"/>
          <w:szCs w:val="32"/>
          <w:lang w:bidi="ar-SA"/>
        </w:rPr>
        <w:t>万元，到位率100.00%，已全部下达至全省各市州、县市区及相关省直部门。</w:t>
      </w:r>
    </w:p>
    <w:p>
      <w:pPr>
        <w:keepNext w:val="0"/>
        <w:keepLines w:val="0"/>
        <w:pageBreakBefore w:val="0"/>
        <w:widowControl w:val="0"/>
        <w:kinsoku/>
        <w:wordWrap/>
        <w:overflowPunct/>
        <w:topLinePunct w:val="0"/>
        <w:autoSpaceDE/>
        <w:bidi w:val="0"/>
        <w:adjustRightInd/>
        <w:snapToGrid/>
        <w:spacing w:line="540" w:lineRule="exact"/>
        <w:ind w:left="0" w:leftChars="0" w:right="0" w:rightChars="0" w:firstLine="640" w:firstLineChars="200"/>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val="en-US" w:eastAsia="zh-CN" w:bidi="ar-SA"/>
        </w:rPr>
        <w:t>2</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bidi="ar-SA"/>
        </w:rPr>
        <w:t>项目资金执行情况</w:t>
      </w:r>
    </w:p>
    <w:p>
      <w:pPr>
        <w:keepNext w:val="0"/>
        <w:keepLines w:val="0"/>
        <w:pageBreakBefore w:val="0"/>
        <w:widowControl w:val="0"/>
        <w:kinsoku/>
        <w:wordWrap/>
        <w:overflowPunct/>
        <w:topLinePunct w:val="0"/>
        <w:autoSpaceDE/>
        <w:bidi w:val="0"/>
        <w:adjustRightInd/>
        <w:snapToGrid/>
        <w:spacing w:line="540" w:lineRule="exact"/>
        <w:ind w:left="0" w:leftChars="0" w:right="0" w:rightChars="0" w:firstLine="640" w:firstLineChars="200"/>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2021年，中央林业改革发展专项及省级配套资金全年预算数307112.75万元，市州自评报送全年执行234427.82万元，预算执行率76.33%（通过对市州自评结果的抽查，测算全省预算执行率为70.71%），市州自评报送执行率见表2。执行率偏低的主要原因有：一是部分项目实施有很强的季节性，项目建设周期较长，需验收合格才能完成资金兑付；二是部分项目管护面积因林地权属存在争议等原因无法落实到户，导致资金兑付困难；三是部分项目补助标准偏低，林农积极性不高，工作推进和操作难度较大。</w:t>
      </w:r>
    </w:p>
    <w:p>
      <w:pPr>
        <w:pStyle w:val="6"/>
        <w:shd w:val="clear" w:color="auto" w:fill="auto"/>
        <w:ind w:left="0" w:leftChars="0" w:firstLine="0" w:firstLineChars="0"/>
        <w:jc w:val="center"/>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eastAsia="zh-CN" w:bidi="ar-SA"/>
        </w:rPr>
        <w:t>表</w:t>
      </w:r>
      <w:r>
        <w:rPr>
          <w:rFonts w:hint="default" w:ascii="Times New Roman" w:hAnsi="Times New Roman" w:eastAsia="方正仿宋_GBK" w:cs="Times New Roman"/>
          <w:b/>
          <w:bCs/>
          <w:sz w:val="32"/>
          <w:szCs w:val="32"/>
          <w:lang w:val="en-US" w:eastAsia="zh-CN" w:bidi="ar-SA"/>
        </w:rPr>
        <w:t>2：</w:t>
      </w:r>
      <w:r>
        <w:rPr>
          <w:rFonts w:hint="default" w:ascii="Times New Roman" w:hAnsi="Times New Roman" w:eastAsia="方正仿宋_GBK" w:cs="Times New Roman"/>
          <w:b/>
          <w:bCs/>
          <w:sz w:val="32"/>
          <w:szCs w:val="32"/>
          <w:lang w:val="en-US" w:eastAsia="zh-CN"/>
        </w:rPr>
        <w:t>2021年林业改革发展资金市州自评</w:t>
      </w:r>
    </w:p>
    <w:p>
      <w:pPr>
        <w:pStyle w:val="6"/>
        <w:shd w:val="clear" w:color="auto" w:fill="auto"/>
        <w:ind w:left="0" w:leftChars="0" w:firstLine="0" w:firstLineChars="0"/>
        <w:jc w:val="center"/>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执行情况明细表（万元）</w:t>
      </w:r>
    </w:p>
    <w:tbl>
      <w:tblPr>
        <w:tblStyle w:val="4"/>
        <w:tblW w:w="83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97"/>
        <w:gridCol w:w="1726"/>
        <w:gridCol w:w="1925"/>
        <w:gridCol w:w="1674"/>
        <w:gridCol w:w="19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blHeader/>
          <w:jc w:val="center"/>
        </w:trPr>
        <w:tc>
          <w:tcPr>
            <w:tcW w:w="109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黑体_GBK" w:cs="Times New Roman"/>
                <w:i w:val="0"/>
                <w:color w:val="000000"/>
                <w:sz w:val="24"/>
                <w:szCs w:val="24"/>
                <w:u w:val="none"/>
              </w:rPr>
            </w:pPr>
            <w:r>
              <w:rPr>
                <w:rFonts w:hint="default" w:ascii="Times New Roman" w:hAnsi="Times New Roman" w:eastAsia="方正黑体_GBK" w:cs="Times New Roman"/>
                <w:i w:val="0"/>
                <w:color w:val="000000"/>
                <w:kern w:val="0"/>
                <w:sz w:val="24"/>
                <w:szCs w:val="24"/>
                <w:u w:val="none"/>
                <w:lang w:val="en-US" w:eastAsia="zh-CN" w:bidi="ar"/>
              </w:rPr>
              <w:t>序号</w:t>
            </w:r>
          </w:p>
        </w:tc>
        <w:tc>
          <w:tcPr>
            <w:tcW w:w="1726" w:type="dxa"/>
            <w:tcBorders>
              <w:top w:val="single" w:color="000000" w:sz="8" w:space="0"/>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黑体_GBK" w:cs="Times New Roman"/>
                <w:i w:val="0"/>
                <w:color w:val="000000"/>
                <w:sz w:val="24"/>
                <w:szCs w:val="24"/>
                <w:u w:val="none"/>
              </w:rPr>
            </w:pPr>
            <w:r>
              <w:rPr>
                <w:rFonts w:hint="default" w:ascii="Times New Roman" w:hAnsi="Times New Roman" w:eastAsia="方正黑体_GBK" w:cs="Times New Roman"/>
                <w:i w:val="0"/>
                <w:color w:val="000000"/>
                <w:kern w:val="0"/>
                <w:sz w:val="24"/>
                <w:szCs w:val="24"/>
                <w:u w:val="none"/>
                <w:lang w:val="en-US" w:eastAsia="zh-CN" w:bidi="ar"/>
              </w:rPr>
              <w:t>地区（单位）</w:t>
            </w:r>
          </w:p>
        </w:tc>
        <w:tc>
          <w:tcPr>
            <w:tcW w:w="1925" w:type="dxa"/>
            <w:tcBorders>
              <w:top w:val="single" w:color="000000" w:sz="8" w:space="0"/>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黑体_GBK" w:cs="Times New Roman"/>
                <w:i w:val="0"/>
                <w:color w:val="000000"/>
                <w:sz w:val="24"/>
                <w:szCs w:val="24"/>
                <w:u w:val="none"/>
              </w:rPr>
            </w:pPr>
            <w:r>
              <w:rPr>
                <w:rFonts w:hint="default" w:ascii="Times New Roman" w:hAnsi="Times New Roman" w:eastAsia="方正黑体_GBK" w:cs="Times New Roman"/>
                <w:i w:val="0"/>
                <w:color w:val="000000"/>
                <w:kern w:val="0"/>
                <w:sz w:val="24"/>
                <w:szCs w:val="24"/>
                <w:u w:val="none"/>
                <w:lang w:val="en-US" w:eastAsia="zh-CN" w:bidi="ar"/>
              </w:rPr>
              <w:t>下拨金额</w:t>
            </w:r>
          </w:p>
        </w:tc>
        <w:tc>
          <w:tcPr>
            <w:tcW w:w="1674" w:type="dxa"/>
            <w:tcBorders>
              <w:top w:val="single" w:color="000000" w:sz="8" w:space="0"/>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黑体_GBK" w:cs="Times New Roman"/>
                <w:i w:val="0"/>
                <w:color w:val="000000"/>
                <w:sz w:val="24"/>
                <w:szCs w:val="24"/>
                <w:u w:val="none"/>
              </w:rPr>
            </w:pPr>
            <w:r>
              <w:rPr>
                <w:rFonts w:hint="default" w:ascii="Times New Roman" w:hAnsi="Times New Roman" w:eastAsia="方正黑体_GBK" w:cs="Times New Roman"/>
                <w:i w:val="0"/>
                <w:color w:val="000000"/>
                <w:kern w:val="0"/>
                <w:sz w:val="24"/>
                <w:szCs w:val="24"/>
                <w:u w:val="none"/>
                <w:lang w:val="en-US" w:eastAsia="zh-CN" w:bidi="ar"/>
              </w:rPr>
              <w:t>执行金额</w:t>
            </w:r>
          </w:p>
        </w:tc>
        <w:tc>
          <w:tcPr>
            <w:tcW w:w="1955" w:type="dxa"/>
            <w:tcBorders>
              <w:top w:val="single" w:color="000000" w:sz="8" w:space="0"/>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黑体_GBK" w:cs="Times New Roman"/>
                <w:i w:val="0"/>
                <w:color w:val="000000"/>
                <w:sz w:val="24"/>
                <w:szCs w:val="24"/>
                <w:u w:val="none"/>
              </w:rPr>
            </w:pPr>
            <w:r>
              <w:rPr>
                <w:rFonts w:hint="default" w:ascii="Times New Roman" w:hAnsi="Times New Roman" w:eastAsia="方正黑体_GBK" w:cs="Times New Roman"/>
                <w:i w:val="0"/>
                <w:color w:val="000000"/>
                <w:kern w:val="0"/>
                <w:sz w:val="24"/>
                <w:szCs w:val="24"/>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省直单位</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lang w:val="en-US"/>
              </w:rPr>
            </w:pPr>
            <w:r>
              <w:rPr>
                <w:rFonts w:hint="default" w:ascii="Times New Roman" w:hAnsi="Times New Roman" w:eastAsia="方正仿宋_GBK" w:cs="Times New Roman"/>
                <w:i w:val="0"/>
                <w:color w:val="000000"/>
                <w:kern w:val="0"/>
                <w:sz w:val="24"/>
                <w:szCs w:val="24"/>
                <w:u w:val="none"/>
                <w:lang w:val="en-US" w:eastAsia="zh-CN" w:bidi="ar"/>
              </w:rPr>
              <w:t>7161.06</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lang w:val="en-US"/>
              </w:rPr>
            </w:pPr>
            <w:r>
              <w:rPr>
                <w:rFonts w:hint="default" w:ascii="Times New Roman" w:hAnsi="Times New Roman" w:eastAsia="方正仿宋_GBK" w:cs="Times New Roman"/>
                <w:i w:val="0"/>
                <w:color w:val="000000"/>
                <w:kern w:val="0"/>
                <w:sz w:val="24"/>
                <w:szCs w:val="24"/>
                <w:u w:val="none"/>
                <w:lang w:val="en-US" w:eastAsia="zh-CN" w:bidi="ar"/>
              </w:rPr>
              <w:t>6768.03</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94.51%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长沙</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25,777.81</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9,012.41</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34.96%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株洲</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14,582.43</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10,715.92</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73.49%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湘潭</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5,836.54</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5,480.04</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93.89%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衡阳</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23,695.57</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13,142.52</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55.46%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6</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邵阳</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26,208.02</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24,232.19</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92.46%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7</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岳阳</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18,383.31</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16,839.76</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8</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常德</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27,215.12</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24,898.46</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张家界</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17,881.20</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15,363.68</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85.92%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10</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益阳</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14,877.29</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10,891.55</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73.21%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11</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永州</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29,708.26</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23,813.21</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80.16%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12</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郴州</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26,253.37</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12,007.79</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45.74%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13</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娄底</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10,667.50</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10,177.58</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14</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怀化</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33,766.48</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27,337.16</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80.96%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15</w:t>
            </w: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湘西州</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25,098.79</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23,747.52</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94.62%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097" w:type="dxa"/>
            <w:tcBorders>
              <w:top w:val="nil"/>
              <w:left w:val="single" w:color="000000" w:sz="8" w:space="0"/>
              <w:bottom w:val="single" w:color="000000" w:sz="8" w:space="0"/>
              <w:right w:val="single" w:color="000000" w:sz="8" w:space="0"/>
            </w:tcBorders>
            <w:vAlign w:val="center"/>
          </w:tcPr>
          <w:p>
            <w:pPr>
              <w:shd w:val="clear" w:color="auto" w:fill="auto"/>
              <w:jc w:val="center"/>
              <w:rPr>
                <w:rFonts w:hint="default" w:ascii="Times New Roman" w:hAnsi="Times New Roman" w:eastAsia="方正仿宋_GBK" w:cs="Times New Roman"/>
                <w:i w:val="0"/>
                <w:color w:val="000000"/>
                <w:sz w:val="24"/>
                <w:szCs w:val="24"/>
                <w:u w:val="none"/>
              </w:rPr>
            </w:pPr>
          </w:p>
        </w:tc>
        <w:tc>
          <w:tcPr>
            <w:tcW w:w="1726"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合计</w:t>
            </w:r>
          </w:p>
        </w:tc>
        <w:tc>
          <w:tcPr>
            <w:tcW w:w="192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307112.75</w:t>
            </w:r>
          </w:p>
        </w:tc>
        <w:tc>
          <w:tcPr>
            <w:tcW w:w="1674"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top"/>
              <w:rPr>
                <w:rFonts w:hint="default" w:ascii="Times New Roman" w:hAnsi="Times New Roman" w:eastAsia="方正仿宋_GBK" w:cs="Times New Roman"/>
                <w:i w:val="0"/>
                <w:color w:val="000000"/>
                <w:sz w:val="24"/>
                <w:szCs w:val="24"/>
                <w:u w:val="none"/>
                <w:lang w:val="en-US"/>
              </w:rPr>
            </w:pPr>
            <w:r>
              <w:rPr>
                <w:rFonts w:hint="default" w:ascii="Times New Roman" w:hAnsi="Times New Roman" w:eastAsia="方正仿宋_GBK" w:cs="Times New Roman"/>
                <w:i w:val="0"/>
                <w:color w:val="000000"/>
                <w:kern w:val="0"/>
                <w:sz w:val="24"/>
                <w:szCs w:val="24"/>
                <w:u w:val="none"/>
                <w:lang w:val="en-US" w:eastAsia="zh-CN" w:bidi="ar"/>
              </w:rPr>
              <w:t>234427.82</w:t>
            </w:r>
          </w:p>
        </w:tc>
        <w:tc>
          <w:tcPr>
            <w:tcW w:w="1955" w:type="dxa"/>
            <w:tcBorders>
              <w:top w:val="nil"/>
              <w:left w:val="nil"/>
              <w:bottom w:val="single" w:color="000000" w:sz="8" w:space="0"/>
              <w:right w:val="single" w:color="000000" w:sz="8" w:space="0"/>
            </w:tcBorders>
            <w:vAlign w:val="center"/>
          </w:tcPr>
          <w:p>
            <w:pPr>
              <w:keepNext w:val="0"/>
              <w:keepLines w:val="0"/>
              <w:widowControl/>
              <w:suppressLineNumbers w:val="0"/>
              <w:shd w:val="clear" w:color="auto" w:fill="auto"/>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76.33%</w:t>
            </w:r>
          </w:p>
        </w:tc>
      </w:tr>
    </w:tbl>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val="en-US" w:eastAsia="zh-CN" w:bidi="ar-SA"/>
        </w:rPr>
        <w:t>2</w:t>
      </w:r>
      <w:r>
        <w:rPr>
          <w:rFonts w:hint="default" w:ascii="Times New Roman" w:hAnsi="Times New Roman" w:eastAsia="方正仿宋_GBK" w:cs="Times New Roman"/>
          <w:sz w:val="32"/>
          <w:szCs w:val="32"/>
          <w:lang w:bidi="ar-SA"/>
        </w:rPr>
        <w:t>.项目资金管理情况</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我省历来高度重视资金管理，均按照国家现行政策要求严格资金管理和使用。在资金使用过程中，我省注重实效、强化管理，不存在截留、挤占、挪用、虚列支出等情况。如对天然商品林管护补助和国家级公益林的管护补助由各县（市、区）财政局核实资金使用计划，通过本级财政惠农补贴“一卡通”进行发放；对中央财政林木良种补贴资金等补助资金由本级财政拨付至项目单位，按文件要求及项目实施进度支出；造林、森林抚育等项目由各县（市、区）林业部门组织验收小组，对项目实施情况进行验收，根据验收结果拨付资金。</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0"/>
        <w:rPr>
          <w:rFonts w:hint="default" w:ascii="Times New Roman" w:hAnsi="Times New Roman" w:eastAsia="方正楷体_GBK" w:cs="Times New Roman"/>
          <w:sz w:val="32"/>
          <w:szCs w:val="32"/>
          <w:lang w:bidi="ar-SA"/>
        </w:rPr>
      </w:pPr>
      <w:r>
        <w:rPr>
          <w:rFonts w:hint="default" w:ascii="Times New Roman" w:hAnsi="Times New Roman" w:eastAsia="方正楷体_GBK" w:cs="Times New Roman"/>
          <w:sz w:val="32"/>
          <w:szCs w:val="32"/>
          <w:lang w:bidi="ar-SA"/>
        </w:rPr>
        <w:t>（二）总体绩效目标完成情况分析</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2021年，我省各级林业主管部门按照国家批复下达的绩效目标，认真组织实施，加快项目推进进度，抓好项目实施质量，加强项目实施的监督管理，圆满完成了总体绩效目标任务。</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1.森林资源管护持续加强。根据《湖南省天然林保护修复制度实施方案》要求，202</w:t>
      </w:r>
      <w:r>
        <w:rPr>
          <w:rFonts w:hint="default" w:ascii="Times New Roman" w:hAnsi="Times New Roman" w:eastAsia="方正仿宋_GBK" w:cs="Times New Roman"/>
          <w:sz w:val="32"/>
          <w:szCs w:val="32"/>
          <w:highlight w:val="none"/>
        </w:rPr>
        <w:t>1年</w:t>
      </w:r>
      <w:r>
        <w:rPr>
          <w:rFonts w:hint="default" w:ascii="Times New Roman" w:hAnsi="Times New Roman" w:cs="Times New Roman"/>
          <w:sz w:val="32"/>
          <w:szCs w:val="32"/>
          <w:highlight w:val="none"/>
        </w:rPr>
        <w:t>，</w:t>
      </w:r>
      <w:r>
        <w:rPr>
          <w:rFonts w:hint="default" w:ascii="Times New Roman" w:hAnsi="Times New Roman" w:eastAsia="方正仿宋_GBK" w:cs="Times New Roman"/>
          <w:sz w:val="32"/>
          <w:szCs w:val="32"/>
          <w:highlight w:val="none"/>
        </w:rPr>
        <w:t>全</w:t>
      </w:r>
      <w:r>
        <w:rPr>
          <w:rFonts w:hint="default" w:ascii="Times New Roman" w:hAnsi="Times New Roman" w:eastAsia="方正仿宋_GBK" w:cs="Times New Roman"/>
          <w:sz w:val="32"/>
          <w:szCs w:val="32"/>
        </w:rPr>
        <w:t>面完成了天然林专项调查、公益林优化调整及林草生态综合监测评价等工作，落实了纳入森林资源管护补助的天保工程区外森林管护和国家级公益林（含国有、集体和个人）的管护。</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国土绿化大规模推进。一是积极组织各类造林主体，在可利用的国土空间实施人工造林，2021年度共完成人工造林176.8万亩、封山育林312.99万亩、退化林修复148.36万亩、森林抚育531.59万亩，实施人工种草2.01万亩、草地改良6.24万亩，建设省级生态廊道12.53万亩。二是造林绿化落地上图稳步推进，国家草原自然公园试点全面铺开。三是加快建设国家林木种质资源设施保存库湖南分库，强化种苗质量监管，推进良种基地升级换代，不断提升林木良种培育能力。</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0"/>
        <w:rPr>
          <w:rFonts w:hint="default" w:ascii="Times New Roman" w:hAnsi="Times New Roman" w:eastAsia="方正仿宋_GBK" w:cs="Times New Roman"/>
          <w:sz w:val="32"/>
          <w:szCs w:val="32"/>
          <w:highlight w:val="yellow"/>
        </w:rPr>
      </w:pPr>
      <w:r>
        <w:rPr>
          <w:rFonts w:hint="default" w:ascii="Times New Roman" w:hAnsi="Times New Roman" w:eastAsia="方正仿宋_GBK" w:cs="Times New Roman"/>
          <w:sz w:val="32"/>
          <w:szCs w:val="32"/>
        </w:rPr>
        <w:t>3.国家级自然保护区能力建设不断提升。一是通过引入无人机、卫星追踪器等先进设备采集相关信息，建立国家级自然保护区监督管理信息化平台，不断提升保护区监测管理信息化水平。二是及时发布和更新国家级自然保护区、湿地公园管理站（点）建设标准、界桩、界碑等标识系统建设标准和行业管理标准，不断提升国家级自然保护区规范化管理水平。</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生态保护体系建设不断强化。一是实施全流域湿地综合治理。通过实施湿地生态效益补偿和湿地保护与恢复项目，加强洞庭湖湿地生态保护修复，统筹推进山水林田湖草沙系统治理，健全湿地保护管理体系，推进《湖南省湿地保护修复“十四五”专项规划》的出台，统筹建立湿地生态监测评价体系，稳步提升湿地生态系统服务功能。二是全力推广林业科技成果。加速林业科技成果转化，大力推广成熟、适用的新成果新技术。持续开展林业科技特派员帮扶、送科技下乡等行动，逐步提升基层林业科技水平。积极开展林业科学普及和自然教育，着力提高新时代务林人科学素质，打通林业科技成果转化“最后一公里”。</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0"/>
        <w:rPr>
          <w:rFonts w:hint="default" w:ascii="Times New Roman" w:hAnsi="Times New Roman" w:eastAsia="方正楷体_GBK" w:cs="Times New Roman"/>
          <w:sz w:val="32"/>
          <w:szCs w:val="32"/>
          <w:lang w:bidi="ar-SA"/>
        </w:rPr>
      </w:pPr>
      <w:r>
        <w:rPr>
          <w:rFonts w:hint="default" w:ascii="Times New Roman" w:hAnsi="Times New Roman" w:eastAsia="方正仿宋_GBK" w:cs="Times New Roman"/>
          <w:sz w:val="32"/>
          <w:szCs w:val="32"/>
        </w:rPr>
        <w:t>5.森林火灾预防和国家重点野生动植物保护水平再上台阶。一是组建了防火中心，扎实开展森林防火“三大一基础”活动，全省火灾次数、受害面积、损失蓄积同比减少1.7%、2.4%、19.9%。二是加强珍稀濒危物种保护，实施华南虎野化放归、青羊湖兰花谷等重点工程，严厉打击破坏野生动植物资源违法犯罪行为。继续开展野猪危害防控，完善野生动物致害种群调控及补偿制度。积极开展生物多样性宣教活动，加强重点野生动植物疫源疫病监测预警和应急处置。</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0"/>
        <w:rPr>
          <w:rFonts w:hint="default" w:ascii="Times New Roman" w:hAnsi="Times New Roman" w:eastAsia="方正楷体_GBK" w:cs="Times New Roman"/>
          <w:sz w:val="32"/>
          <w:szCs w:val="32"/>
          <w:lang w:bidi="ar-SA"/>
        </w:rPr>
      </w:pPr>
      <w:r>
        <w:rPr>
          <w:rFonts w:hint="default" w:ascii="Times New Roman" w:hAnsi="Times New Roman" w:eastAsia="方正楷体_GBK" w:cs="Times New Roman"/>
          <w:sz w:val="32"/>
          <w:szCs w:val="32"/>
          <w:lang w:bidi="ar-SA"/>
        </w:rPr>
        <w:t>（三）绩效目标完成情况分析</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1.产出指标完成情况分析</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（1）数量指标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2021年，全省计划完成国有天然商品林管护面积114.98万亩，实际完成115万亩（占约束性任务的100.02%）；计划完成非国有天然商品林管护面积3045万亩，实际完成3043.78万亩（占约束性任务的99.96%，差异数系因林地权属争议等原因无法落实到户）；计划完成国家级公益林（含国有、集体和个人）管护面积5878.42</w:t>
      </w:r>
      <w:r>
        <w:rPr>
          <w:rFonts w:hint="default" w:ascii="Times New Roman" w:hAnsi="Times New Roman" w:eastAsia="方正仿宋_GBK" w:cs="Times New Roman"/>
          <w:sz w:val="32"/>
          <w:szCs w:val="32"/>
          <w:lang w:bidi="ar-SA"/>
        </w:rPr>
        <w:tab/>
      </w:r>
      <w:r>
        <w:rPr>
          <w:rFonts w:hint="default" w:ascii="Times New Roman" w:hAnsi="Times New Roman" w:eastAsia="方正仿宋_GBK" w:cs="Times New Roman"/>
          <w:sz w:val="32"/>
          <w:szCs w:val="32"/>
          <w:lang w:bidi="ar-SA"/>
        </w:rPr>
        <w:t>万亩，实际完成5876.7635万亩（占约束性任务的99.97%，差异数系动态调整，视同完成）；计划完成国家重点林木良种基地面积30731亩，实际完成30731亩；计划完成造林面积90万亩，实际完成111.83万亩（占约束性任务的124.26%）；计划完成森林抚育面积99万亩，实际完成109.42万亩（占约束性任务的110.53%）；计划完成政策到期上一轮退耕还生态林纳入森林抚育补助面积658.82万亩，实际完成124.9367万亩（差异数系项目补助标准偏低，操作难度大）；计划完成油茶低产低效林改造面积27万亩，实际完成19.51万亩（差异数系目前仍在实施期）；对20个国家级自然保护区开展能力建设；实施了4个湿地保护与恢复项目；计划完成退耕还湿面积1万亩，实际完成1万亩（占约束性任务的100%）；计划完成林业有害生物防治面积373.97万亩，实际完成373.97万亩（占约束性任务的100%）；实施了16个林业科技推广项目，大部分项目均完成或超额完成了年度指标任务。</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（2）质量指标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造林完成合格面积率93.16%，森林抚育质量合格率93.07%，均分别完成了年初不低于85%和90%的绩效指标值；2021年森林防火成效显著，全年无重特大森林火灾、群死群伤和火烧连营事故，火灾次数、受害面积、损失蓄积同比减少1.7%、2.4%、19.9%；森林火灾受害率小于0.9</w:t>
      </w:r>
      <w:r>
        <w:rPr>
          <w:rFonts w:hint="default" w:ascii="Times New Roman" w:hAnsi="Times New Roman" w:eastAsia="方正仿宋_GBK" w:cs="Times New Roman"/>
          <w:kern w:val="0"/>
          <w:sz w:val="32"/>
          <w:szCs w:val="32"/>
          <w:lang w:bidi="ar-SA"/>
        </w:rPr>
        <w:t>‰；全省林业有害生物成灾率为6.68‰。</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（3）时效指标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全省天然林和国家级公益林管护面积9038.4万亩，全年管护任务完成面积为9037.18万亩，管护任务完成率99.99%，主要原因是我省天然林面积长期存在误差，部分天然林面积无法落实到户，致使签订天然林管护协议的天然林面积有差异，目前存在差异的县（市、区）正在积极协调中。造林当期任务完成率和森林抚育</w:t>
      </w:r>
      <w:r>
        <w:rPr>
          <w:rFonts w:hint="default" w:ascii="Times New Roman" w:hAnsi="Times New Roman" w:eastAsia="方正仿宋_GBK" w:cs="Times New Roman"/>
          <w:sz w:val="32"/>
          <w:szCs w:val="32"/>
          <w:lang w:eastAsia="zh-CN" w:bidi="ar-SA"/>
        </w:rPr>
        <w:t>当期</w:t>
      </w:r>
      <w:r>
        <w:rPr>
          <w:rFonts w:hint="default" w:ascii="Times New Roman" w:hAnsi="Times New Roman" w:eastAsia="方正仿宋_GBK" w:cs="Times New Roman"/>
          <w:sz w:val="32"/>
          <w:szCs w:val="32"/>
          <w:lang w:bidi="ar-SA"/>
        </w:rPr>
        <w:t>任务完成率均达到了年初不低于80%的指标值。</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（4）成本指标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我省国有天然林管护中央财政补助标准为10元/亩、非国有天然商品林停伐管护中央财政补助标准为16元/亩、国有国家级公益林管护中央财政补助标准10元/亩、非国有国家级公益林管护中央财政补助标准16元/亩，均按照国家有关要求进行补助，完成了年初设定的绩效指标值。</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2.效益指标完成情况分析</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（1）社会效益指标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经统计，2021年，国家级公益林提供管护岗位5.16万个，造林和森林抚育提供就业岗位42.44万个。通过项目的实施，为农村剩余劳动力提供了大量的就业机会，缓解了社会就业压力，促进了林区产业结构调整，增加了林农收入，有力支持了当地党委政府精准扶贫脱贫工作。</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（2）生态效益指标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2021年，全省林业有害生物防治面积373.97万亩，其中无公害防治面积332.46亩，无公害防治率88.90%，防治成效较为显著；同时，通过对天然林和公益林的管护，有效的改善了生态环境，改善了森林林分结构，生态保护与修复力度得到加强，湿地生态系统结构、功能级生物多样性逐步恢复，森林、湿地生态系统生态效益发挥明显。</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（3）可持续影响指标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通过开展一系列生态保护和修复工作，在一定时期内能有效的</w:t>
      </w:r>
      <w:r>
        <w:rPr>
          <w:rFonts w:hint="default" w:ascii="Times New Roman" w:hAnsi="Times New Roman" w:eastAsia="方正仿宋_GBK" w:cs="Times New Roman"/>
          <w:sz w:val="32"/>
          <w:szCs w:val="32"/>
          <w:lang w:eastAsia="zh-CN" w:bidi="ar-SA"/>
        </w:rPr>
        <w:t>稳固和提高</w:t>
      </w:r>
      <w:r>
        <w:rPr>
          <w:rFonts w:hint="default" w:ascii="Times New Roman" w:hAnsi="Times New Roman" w:eastAsia="方正仿宋_GBK" w:cs="Times New Roman"/>
          <w:sz w:val="32"/>
          <w:szCs w:val="32"/>
          <w:lang w:bidi="ar-SA"/>
        </w:rPr>
        <w:t>森林覆盖率，</w:t>
      </w:r>
      <w:r>
        <w:rPr>
          <w:rFonts w:hint="default" w:ascii="Times New Roman" w:hAnsi="Times New Roman" w:eastAsia="方正仿宋_GBK" w:cs="Times New Roman"/>
          <w:sz w:val="32"/>
          <w:szCs w:val="32"/>
          <w:lang w:eastAsia="zh-CN" w:bidi="ar-SA"/>
        </w:rPr>
        <w:t>强化</w:t>
      </w:r>
      <w:r>
        <w:rPr>
          <w:rFonts w:hint="default" w:ascii="Times New Roman" w:hAnsi="Times New Roman" w:eastAsia="方正仿宋_GBK" w:cs="Times New Roman"/>
          <w:sz w:val="32"/>
          <w:szCs w:val="32"/>
          <w:lang w:bidi="ar-SA"/>
        </w:rPr>
        <w:t>森林涵养水源、保持水土等森林生态功能，改变项目</w:t>
      </w:r>
      <w:r>
        <w:rPr>
          <w:rFonts w:hint="default" w:ascii="Times New Roman" w:hAnsi="Times New Roman" w:eastAsia="方正仿宋_GBK" w:cs="Times New Roman"/>
          <w:sz w:val="32"/>
          <w:szCs w:val="32"/>
          <w:lang w:eastAsia="zh-CN" w:bidi="ar-SA"/>
        </w:rPr>
        <w:t>实施区域</w:t>
      </w:r>
      <w:r>
        <w:rPr>
          <w:rFonts w:hint="default" w:ascii="Times New Roman" w:hAnsi="Times New Roman" w:eastAsia="方正仿宋_GBK" w:cs="Times New Roman"/>
          <w:sz w:val="32"/>
          <w:szCs w:val="32"/>
          <w:lang w:bidi="ar-SA"/>
        </w:rPr>
        <w:t>的生态环境，保护物种的多样性，有力地保障了经济社会可持续发展。</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3.满意度指标完成情况分析</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通过入户问卷调查</w:t>
      </w:r>
      <w:r>
        <w:rPr>
          <w:rFonts w:hint="default" w:ascii="Times New Roman" w:hAnsi="Times New Roman" w:eastAsia="方正仿宋_GBK" w:cs="Times New Roman"/>
          <w:sz w:val="32"/>
          <w:szCs w:val="32"/>
          <w:lang w:eastAsia="zh-CN" w:bidi="ar-SA"/>
        </w:rPr>
        <w:t>表明</w:t>
      </w:r>
      <w:r>
        <w:rPr>
          <w:rFonts w:hint="default" w:ascii="Times New Roman" w:hAnsi="Times New Roman" w:eastAsia="方正仿宋_GBK" w:cs="Times New Roman"/>
          <w:sz w:val="32"/>
          <w:szCs w:val="32"/>
          <w:lang w:bidi="ar-SA"/>
        </w:rPr>
        <w:t>，林区职工及周边群众对实施林业改革发展资金项目的满意度达到90%以上，说明林业职工、周边群众、林业项目实施单位和林农对林业改革发展资金项目的实施比较满意，同时，他们也希望加大政策支持力度，扩大补助资金支持范围，</w:t>
      </w:r>
      <w:r>
        <w:rPr>
          <w:rFonts w:hint="default" w:ascii="Times New Roman" w:hAnsi="Times New Roman" w:eastAsia="方正仿宋_GBK" w:cs="Times New Roman"/>
          <w:sz w:val="32"/>
          <w:szCs w:val="32"/>
          <w:lang w:eastAsia="zh-CN" w:bidi="ar-SA"/>
        </w:rPr>
        <w:t>提高资金补助标准，</w:t>
      </w:r>
      <w:r>
        <w:rPr>
          <w:rFonts w:hint="default" w:ascii="Times New Roman" w:hAnsi="Times New Roman" w:eastAsia="方正仿宋_GBK" w:cs="Times New Roman"/>
          <w:sz w:val="32"/>
          <w:szCs w:val="32"/>
          <w:lang w:bidi="ar-SA"/>
        </w:rPr>
        <w:t>让更多的林农和单位受益。</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0"/>
        <w:rPr>
          <w:rFonts w:hint="default" w:ascii="Times New Roman" w:hAnsi="Times New Roman" w:eastAsia="方正楷体_GBK" w:cs="Times New Roman"/>
          <w:sz w:val="32"/>
          <w:szCs w:val="32"/>
          <w:lang w:bidi="ar-SA"/>
        </w:rPr>
      </w:pPr>
      <w:r>
        <w:rPr>
          <w:rFonts w:hint="default" w:ascii="Times New Roman" w:hAnsi="Times New Roman" w:eastAsia="方正楷体_GBK" w:cs="Times New Roman"/>
          <w:sz w:val="32"/>
          <w:szCs w:val="32"/>
          <w:lang w:bidi="ar-SA"/>
        </w:rPr>
        <w:t>（四）国土绿化试点示范项目情况分析</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1</w:t>
      </w:r>
      <w:r>
        <w:rPr>
          <w:rFonts w:hint="default" w:ascii="Times New Roman" w:hAnsi="Times New Roman" w:eastAsia="方正仿宋_GBK" w:cs="Times New Roman"/>
          <w:sz w:val="32"/>
          <w:szCs w:val="32"/>
          <w:lang w:val="en-US" w:eastAsia="zh-CN" w:bidi="ar-SA"/>
        </w:rPr>
        <w:t>.</w:t>
      </w:r>
      <w:r>
        <w:rPr>
          <w:rFonts w:hint="default" w:ascii="Times New Roman" w:hAnsi="Times New Roman" w:eastAsia="方正仿宋_GBK" w:cs="Times New Roman"/>
          <w:sz w:val="32"/>
          <w:szCs w:val="32"/>
          <w:lang w:bidi="ar-SA"/>
        </w:rPr>
        <w:t>资金投入情况分析</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国土绿化试点示范项目投资31330.87万元，计划两年实施完成。2021年6月21日，根据《湖南省财政厅关于下达2021年中央国土绿化试点示范项目资金的通知》（湘财预〔2021〕112号），省财政下达长沙市2021年中央国土绿化试点示范项目资金15000万元、省级财政补助1800万元（省财政厅将会同省林业局在预下达2022年省级林业专项资金中安排到位）。市、县财政另补助8569.22万元，其中市级财政补助6500万元（统筹2021-2023年三年长沙市“一县一特”油茶产业专项资金4767万元、生态廊道建设专项资金1733万元），县级财政补助资金2069.22万元。社会投资5961.65万元由各项目建设主体承担。截止到自评日止，长沙市已将2021年度第一批资金11080.14万元拨付到下辖各县（市、区），其中：中央补助资金7447.14万元、市级财政补助资金3633万元。下辖各县（市、区）已落实县级财政配套资金，待年度财政预算资金下达后到位。</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w:t>
      </w:r>
      <w:r>
        <w:rPr>
          <w:rFonts w:hint="default" w:ascii="Times New Roman" w:hAnsi="Times New Roman" w:eastAsia="方正仿宋_GBK" w:cs="Times New Roman"/>
          <w:sz w:val="32"/>
          <w:szCs w:val="32"/>
          <w:lang w:val="en-US" w:eastAsia="zh-CN" w:bidi="ar-SA"/>
        </w:rPr>
        <w:t>.</w:t>
      </w:r>
      <w:r>
        <w:rPr>
          <w:rFonts w:hint="default" w:ascii="Times New Roman" w:hAnsi="Times New Roman" w:eastAsia="方正仿宋_GBK" w:cs="Times New Roman"/>
          <w:sz w:val="32"/>
          <w:szCs w:val="32"/>
          <w:lang w:bidi="ar-SA"/>
        </w:rPr>
        <w:t>绩效目标完成情况分析</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highlight w:val="none"/>
          <w:lang w:bidi="ar-SA"/>
        </w:rPr>
      </w:pPr>
      <w:r>
        <w:rPr>
          <w:rFonts w:hint="default" w:ascii="Times New Roman" w:hAnsi="Times New Roman" w:eastAsia="方正仿宋_GBK" w:cs="Times New Roman"/>
          <w:sz w:val="32"/>
          <w:szCs w:val="32"/>
          <w:lang w:bidi="ar-SA"/>
        </w:rPr>
        <w:t>根据《长沙市国土绿化试点示范项目工作方案》明确的建设任务，2021—2022年，试点示范项目预计将完成营造林和油茶营造17.43万亩，其中2021年度完成9.04万亩，包括营造林5.98万亩、油茶营造3.06万亩；2022年度完成8.39万亩，包括营造林5.67万亩</w:t>
      </w:r>
      <w:r>
        <w:rPr>
          <w:rFonts w:hint="default" w:ascii="Times New Roman" w:hAnsi="Times New Roman" w:eastAsia="方正仿宋_GBK" w:cs="Times New Roman"/>
          <w:sz w:val="32"/>
          <w:szCs w:val="32"/>
          <w:highlight w:val="none"/>
          <w:lang w:bidi="ar-SA"/>
        </w:rPr>
        <w:t>、油茶营造2.72万亩；按照建设面积完成项目投资31330.87万元，并按要求设置产出指标、效益指标和满意度</w:t>
      </w:r>
      <w:r>
        <w:rPr>
          <w:rFonts w:hint="default" w:ascii="Times New Roman" w:hAnsi="Times New Roman" w:eastAsia="方正仿宋_GBK" w:cs="Times New Roman"/>
          <w:color w:val="auto"/>
          <w:sz w:val="32"/>
          <w:szCs w:val="32"/>
          <w:highlight w:val="none"/>
          <w:lang w:bidi="ar-SA"/>
        </w:rPr>
        <w:t>指标。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黑体_GBK" w:cs="Times New Roman"/>
          <w:sz w:val="32"/>
          <w:szCs w:val="32"/>
          <w:lang w:bidi="ar-SA"/>
        </w:rPr>
      </w:pPr>
      <w:r>
        <w:rPr>
          <w:rFonts w:hint="default" w:ascii="Times New Roman" w:hAnsi="Times New Roman" w:eastAsia="方正仿宋_GBK" w:cs="Times New Roman"/>
          <w:color w:val="auto"/>
          <w:sz w:val="32"/>
          <w:szCs w:val="32"/>
          <w:highlight w:val="none"/>
          <w:lang w:bidi="ar-SA"/>
        </w:rPr>
        <w:t>截止到自评日，已完成项目建设任务8.26万亩（营造林5.43万亩、油茶营造2.83万亩），占总建设任务17.43万亩的47.38%；项目资金预算执行5877万元，占总投资31330.87万元的18.76%。因项目需要验收后才能支付，因此项目资金预算执行率较低。目前，改项目正在稳步推进，待完成验收程序后加快资金支付进度。</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黑体_GBK" w:cs="Times New Roman"/>
          <w:sz w:val="32"/>
          <w:szCs w:val="32"/>
          <w:lang w:bidi="ar-SA"/>
        </w:rPr>
      </w:pPr>
      <w:r>
        <w:rPr>
          <w:rFonts w:hint="default" w:ascii="Times New Roman" w:hAnsi="Times New Roman" w:eastAsia="方正黑体_GBK" w:cs="Times New Roman"/>
          <w:sz w:val="32"/>
          <w:szCs w:val="32"/>
          <w:lang w:eastAsia="zh-CN" w:bidi="ar-SA"/>
        </w:rPr>
        <w:t>三</w:t>
      </w:r>
      <w:r>
        <w:rPr>
          <w:rFonts w:hint="default" w:ascii="Times New Roman" w:hAnsi="Times New Roman" w:eastAsia="方正黑体_GBK" w:cs="Times New Roman"/>
          <w:sz w:val="32"/>
          <w:szCs w:val="32"/>
          <w:lang w:bidi="ar-SA"/>
        </w:rPr>
        <w:t>、偏离绩效目标的原因和下一步改进措施</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楷体_GBK" w:cs="Times New Roman"/>
          <w:sz w:val="32"/>
          <w:szCs w:val="32"/>
          <w:lang w:bidi="ar-SA"/>
        </w:rPr>
      </w:pPr>
      <w:r>
        <w:rPr>
          <w:rFonts w:hint="default" w:ascii="Times New Roman" w:hAnsi="Times New Roman" w:eastAsia="方正楷体_GBK" w:cs="Times New Roman"/>
          <w:sz w:val="32"/>
          <w:szCs w:val="32"/>
          <w:lang w:bidi="ar-SA"/>
        </w:rPr>
        <w:t>（一）偏离绩效目标的原因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1.天然商品林管护面积存在未达标的现象，主要原因是我省天然林面积长期存在误差，部分天然林面积因与“国土三调”的森林资源数据不一致或因林地权属存在争议等原因无法落实到户，致使签订天然林管护协议的天然林面积有差异，资金兑付困难。</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2.部分项目补助标准偏低，</w:t>
      </w:r>
      <w:r>
        <w:rPr>
          <w:rFonts w:hint="default" w:ascii="Times New Roman" w:hAnsi="Times New Roman" w:eastAsia="方正仿宋_GBK" w:cs="Times New Roman"/>
          <w:sz w:val="32"/>
          <w:szCs w:val="32"/>
          <w:lang w:eastAsia="zh-CN" w:bidi="ar-SA"/>
        </w:rPr>
        <w:t>农</w:t>
      </w:r>
      <w:r>
        <w:rPr>
          <w:rFonts w:hint="default" w:ascii="Times New Roman" w:hAnsi="Times New Roman" w:eastAsia="方正仿宋_GBK" w:cs="Times New Roman"/>
          <w:sz w:val="32"/>
          <w:szCs w:val="32"/>
          <w:lang w:bidi="ar-SA"/>
        </w:rPr>
        <w:t>户对项目要求积极性不高，</w:t>
      </w:r>
      <w:r>
        <w:rPr>
          <w:rFonts w:hint="default" w:ascii="Times New Roman" w:hAnsi="Times New Roman" w:eastAsia="方正仿宋_GBK" w:cs="Times New Roman"/>
          <w:sz w:val="32"/>
          <w:szCs w:val="32"/>
          <w:lang w:eastAsia="zh-CN" w:bidi="ar-SA"/>
        </w:rPr>
        <w:t>工作推进和</w:t>
      </w:r>
      <w:r>
        <w:rPr>
          <w:rFonts w:hint="default" w:ascii="Times New Roman" w:hAnsi="Times New Roman" w:eastAsia="方正仿宋_GBK" w:cs="Times New Roman"/>
          <w:sz w:val="32"/>
          <w:szCs w:val="32"/>
          <w:lang w:bidi="ar-SA"/>
        </w:rPr>
        <w:t>操作难度大，如政策到期上一轮退耕还生态林纳入森林抚育项目国家补助标准为20元/亩，而农户实施1亩退耕还生态林森林抚育</w:t>
      </w:r>
      <w:r>
        <w:rPr>
          <w:rFonts w:hint="default" w:ascii="Times New Roman" w:hAnsi="Times New Roman" w:eastAsia="方正仿宋_GBK" w:cs="Times New Roman"/>
          <w:sz w:val="32"/>
          <w:szCs w:val="32"/>
          <w:lang w:eastAsia="zh-CN" w:bidi="ar-SA"/>
        </w:rPr>
        <w:t>工作</w:t>
      </w:r>
      <w:r>
        <w:rPr>
          <w:rFonts w:hint="default" w:ascii="Times New Roman" w:hAnsi="Times New Roman" w:eastAsia="方正仿宋_GBK" w:cs="Times New Roman"/>
          <w:sz w:val="32"/>
          <w:szCs w:val="32"/>
          <w:lang w:bidi="ar-SA"/>
        </w:rPr>
        <w:t>实际需要2-3个工日才能完成，按现行劳动力平均工资200元/工日计算，实施1亩退耕还生态林森林抚育需花400-600元/亩，远远低于农户工资平均水平。再如非国有天然商品林管护中央财政补助标准为16元/亩，远低于主要依靠采伐作为收入来源的林农经营木材生产和经济林果的收益，补助的资金也低于2021年全省城镇非私营单位就业人员年平均工资水平。</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3.造林、森林抚育等项目的实施有很强的季节性，同时受天气的影响很大，加之验收周期较长，如造林验收时间长达数月，容易出现不可控因素，若出现验收不合格的需补造补植且验收合格后才能完成资金兑付，导致资金执行进度较为滞后。</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4.当前林业系统虽然已经形成了比较健全的制度体系和机构队伍，</w:t>
      </w:r>
      <w:r>
        <w:rPr>
          <w:rFonts w:hint="default" w:ascii="Times New Roman" w:hAnsi="Times New Roman" w:eastAsia="方正仿宋_GBK" w:cs="Times New Roman"/>
          <w:sz w:val="32"/>
          <w:szCs w:val="32"/>
          <w:lang w:eastAsia="zh-CN" w:bidi="ar-SA"/>
        </w:rPr>
        <w:t>各地</w:t>
      </w:r>
      <w:r>
        <w:rPr>
          <w:rFonts w:hint="default" w:ascii="Times New Roman" w:hAnsi="Times New Roman" w:eastAsia="方正仿宋_GBK" w:cs="Times New Roman"/>
          <w:sz w:val="32"/>
          <w:szCs w:val="32"/>
          <w:lang w:bidi="ar-SA"/>
        </w:rPr>
        <w:t>能够根据《林业改革发展资金管理办法》</w:t>
      </w:r>
      <w:r>
        <w:rPr>
          <w:rFonts w:hint="default" w:ascii="Times New Roman" w:hAnsi="Times New Roman" w:eastAsia="方正仿宋_GBK" w:cs="Times New Roman"/>
          <w:sz w:val="32"/>
          <w:szCs w:val="32"/>
          <w:lang w:eastAsia="zh-CN" w:bidi="ar-SA"/>
        </w:rPr>
        <w:t>开展项目与资金管理工作，</w:t>
      </w:r>
      <w:r>
        <w:rPr>
          <w:rFonts w:hint="default" w:ascii="Times New Roman" w:hAnsi="Times New Roman" w:eastAsia="方正仿宋_GBK" w:cs="Times New Roman"/>
          <w:sz w:val="32"/>
          <w:szCs w:val="32"/>
          <w:lang w:bidi="ar-SA"/>
        </w:rPr>
        <w:t>但部分</w:t>
      </w:r>
      <w:r>
        <w:rPr>
          <w:rFonts w:hint="default" w:ascii="Times New Roman" w:hAnsi="Times New Roman" w:eastAsia="方正仿宋_GBK" w:cs="Times New Roman"/>
          <w:sz w:val="32"/>
          <w:szCs w:val="32"/>
          <w:lang w:eastAsia="zh-CN" w:bidi="ar-SA"/>
        </w:rPr>
        <w:t>地方在</w:t>
      </w:r>
      <w:r>
        <w:rPr>
          <w:rFonts w:hint="default" w:ascii="Times New Roman" w:hAnsi="Times New Roman" w:eastAsia="方正仿宋_GBK" w:cs="Times New Roman"/>
          <w:sz w:val="32"/>
          <w:szCs w:val="32"/>
          <w:lang w:bidi="ar-SA"/>
        </w:rPr>
        <w:t>林业改革发展项目的组织管理、资金及绩效管理和政策落实等方面执行欠到位、管理欠规范的问题依然存在。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5. 国土绿化试点示范项目</w:t>
      </w:r>
      <w:r>
        <w:rPr>
          <w:rFonts w:hint="default" w:ascii="Times New Roman" w:hAnsi="Times New Roman" w:eastAsia="方正仿宋_GBK" w:cs="Times New Roman"/>
          <w:sz w:val="32"/>
          <w:szCs w:val="32"/>
          <w:lang w:eastAsia="zh-CN" w:bidi="ar-SA"/>
        </w:rPr>
        <w:t>执行率较低，</w:t>
      </w:r>
      <w:r>
        <w:rPr>
          <w:rFonts w:hint="default" w:ascii="Times New Roman" w:hAnsi="Times New Roman" w:eastAsia="方正仿宋_GBK" w:cs="Times New Roman"/>
          <w:sz w:val="32"/>
          <w:szCs w:val="32"/>
          <w:lang w:bidi="ar-SA"/>
        </w:rPr>
        <w:t>主要是受季节影响，导致资金下达半年以来因不具备项目实施所需的气候及季节条件，仅完成前期工作，项目建设暂未开始。受此影响，年度项目建设任务均需在次年春季项目建设完毕并进行验收后完成。</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楷体_GBK" w:cs="Times New Roman"/>
          <w:sz w:val="32"/>
          <w:szCs w:val="32"/>
          <w:lang w:bidi="ar-SA"/>
        </w:rPr>
      </w:pPr>
      <w:r>
        <w:rPr>
          <w:rFonts w:hint="default" w:ascii="Times New Roman" w:hAnsi="Times New Roman" w:eastAsia="方正楷体_GBK" w:cs="Times New Roman"/>
          <w:sz w:val="32"/>
          <w:szCs w:val="32"/>
          <w:lang w:bidi="ar-SA"/>
        </w:rPr>
        <w:t>（二）下一步改进措施</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1.根据《湖南省天然林保护修复制度实施方案》</w:t>
      </w:r>
      <w:r>
        <w:rPr>
          <w:rFonts w:hint="default" w:ascii="Times New Roman" w:hAnsi="Times New Roman" w:eastAsia="方正仿宋_GBK" w:cs="Times New Roman"/>
          <w:sz w:val="32"/>
          <w:szCs w:val="32"/>
          <w:lang w:eastAsia="zh-CN" w:bidi="ar-SA"/>
        </w:rPr>
        <w:t>要求</w:t>
      </w:r>
      <w:r>
        <w:rPr>
          <w:rFonts w:hint="default" w:ascii="Times New Roman" w:hAnsi="Times New Roman" w:eastAsia="方正仿宋_GBK" w:cs="Times New Roman"/>
          <w:sz w:val="32"/>
          <w:szCs w:val="32"/>
          <w:lang w:bidi="ar-SA"/>
        </w:rPr>
        <w:t>，在全面完成天然林资源专项调查</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bidi="ar-SA"/>
        </w:rPr>
        <w:t>摸清天然林资源家底</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bidi="ar-SA"/>
        </w:rPr>
        <w:t>掌握天然林管护实情的基础上，逐步建立天然林保护修复制度体系、保障体系、标准体系和评价体系。一是将天然林及其森林生态效益补偿、管护补助范围更新到森林资源管理“一张图”和自然资源管理“一张图”，切实做到天然林面积准确、权属清晰、四至清楚、补助明确、图表卡一致，确保天然林数据真实、有效、权威；二是尚未纳入森林生态效益补偿或管护补助的天然林，经营者愿意纳入的，各县（市、区）林业部门及时签订管护责任协议书；经营者不愿纳入的，各县（市、区）林业部门及相关乡镇应加强天然林保护政策宣传，告知林权权利人权利义务，并与相关集体经济组织签订天然林管护责任协议书，确保全省天然林实现全面保护。</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2.鉴于我省在天然商品林管护、森林生态效益补偿、造林、森林抚育等方面存在的实际困难</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bidi="ar-SA"/>
        </w:rPr>
        <w:t>恳请中央考虑我省在内的各地林业工作实际，逐步提高相关补助标准并加大投入力度。我省</w:t>
      </w:r>
      <w:r>
        <w:rPr>
          <w:rFonts w:hint="default" w:ascii="Times New Roman" w:hAnsi="Times New Roman" w:eastAsia="方正仿宋_GBK" w:cs="Times New Roman"/>
          <w:sz w:val="32"/>
          <w:szCs w:val="32"/>
          <w:lang w:eastAsia="zh-CN" w:bidi="ar-SA"/>
        </w:rPr>
        <w:t>也</w:t>
      </w:r>
      <w:r>
        <w:rPr>
          <w:rFonts w:hint="default" w:ascii="Times New Roman" w:hAnsi="Times New Roman" w:eastAsia="方正仿宋_GBK" w:cs="Times New Roman"/>
          <w:sz w:val="32"/>
          <w:szCs w:val="32"/>
          <w:lang w:bidi="ar-SA"/>
        </w:rPr>
        <w:t>积极探索项目实施</w:t>
      </w:r>
      <w:r>
        <w:rPr>
          <w:rFonts w:hint="default" w:ascii="Times New Roman" w:hAnsi="Times New Roman" w:eastAsia="方正仿宋_GBK" w:cs="Times New Roman"/>
          <w:sz w:val="32"/>
          <w:szCs w:val="32"/>
          <w:lang w:eastAsia="zh-CN" w:bidi="ar-SA"/>
        </w:rPr>
        <w:t>和资金</w:t>
      </w:r>
      <w:r>
        <w:rPr>
          <w:rFonts w:hint="default" w:ascii="Times New Roman" w:hAnsi="Times New Roman" w:eastAsia="方正仿宋_GBK" w:cs="Times New Roman"/>
          <w:sz w:val="32"/>
          <w:szCs w:val="32"/>
          <w:lang w:bidi="ar-SA"/>
        </w:rPr>
        <w:t>多渠道筹措的新模式，通过在政策范围内调整项目实施方式和探索向受益单位收缴生态补偿金，逐步建立生态补偿机制的方式，引导社会资金加大林业建设投入。</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3.利用造林有利时节，尽快完成造林建设任务，按标准验收合格后，</w:t>
      </w:r>
      <w:r>
        <w:rPr>
          <w:rFonts w:hint="default" w:ascii="Times New Roman" w:hAnsi="Times New Roman" w:eastAsia="方正仿宋_GBK" w:cs="Times New Roman"/>
          <w:sz w:val="32"/>
          <w:szCs w:val="32"/>
          <w:lang w:eastAsia="zh-CN" w:bidi="ar-SA"/>
        </w:rPr>
        <w:t>及时</w:t>
      </w:r>
      <w:r>
        <w:rPr>
          <w:rFonts w:hint="default" w:ascii="Times New Roman" w:hAnsi="Times New Roman" w:eastAsia="方正仿宋_GBK" w:cs="Times New Roman"/>
          <w:sz w:val="32"/>
          <w:szCs w:val="32"/>
          <w:lang w:bidi="ar-SA"/>
        </w:rPr>
        <w:t>兑付补助资金</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bidi="ar-SA"/>
        </w:rPr>
        <w:t>对建设任务进展缓慢，资金兑付迟缓的县（市、区），可采取约谈、通报等形式督促加快项目的实施和资金兑付进度。</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4.各</w:t>
      </w:r>
      <w:r>
        <w:rPr>
          <w:rFonts w:hint="default" w:ascii="Times New Roman" w:hAnsi="Times New Roman" w:eastAsia="方正仿宋_GBK" w:cs="Times New Roman"/>
          <w:sz w:val="32"/>
          <w:szCs w:val="32"/>
          <w:lang w:eastAsia="zh-CN" w:bidi="ar-SA"/>
        </w:rPr>
        <w:t>地财政、林业部门</w:t>
      </w:r>
      <w:r>
        <w:rPr>
          <w:rFonts w:hint="default" w:ascii="Times New Roman" w:hAnsi="Times New Roman" w:eastAsia="方正仿宋_GBK" w:cs="Times New Roman"/>
          <w:sz w:val="32"/>
          <w:szCs w:val="32"/>
          <w:lang w:bidi="ar-SA"/>
        </w:rPr>
        <w:t>加强学习，提高认识，严格按照《林业改革发展资金管理办法》及相关财经法律法规和规范中央财政林业改革发展资金</w:t>
      </w:r>
      <w:r>
        <w:rPr>
          <w:rFonts w:hint="default" w:ascii="Times New Roman" w:hAnsi="Times New Roman" w:eastAsia="方正仿宋_GBK" w:cs="Times New Roman"/>
          <w:sz w:val="32"/>
          <w:szCs w:val="32"/>
          <w:lang w:eastAsia="zh-CN" w:bidi="ar-SA"/>
        </w:rPr>
        <w:t>的</w:t>
      </w:r>
      <w:r>
        <w:rPr>
          <w:rFonts w:hint="default" w:ascii="Times New Roman" w:hAnsi="Times New Roman" w:eastAsia="方正仿宋_GBK" w:cs="Times New Roman"/>
          <w:sz w:val="32"/>
          <w:szCs w:val="32"/>
          <w:lang w:bidi="ar-SA"/>
        </w:rPr>
        <w:t>使用管理，提高资金使用效益，促进林业改革发展</w:t>
      </w:r>
      <w:r>
        <w:rPr>
          <w:rFonts w:hint="default" w:ascii="Times New Roman" w:hAnsi="Times New Roman" w:eastAsia="方正仿宋_GBK" w:cs="Times New Roman"/>
          <w:sz w:val="32"/>
          <w:szCs w:val="32"/>
          <w:lang w:eastAsia="zh-CN" w:bidi="ar-SA"/>
        </w:rPr>
        <w:t>事业不断前进</w:t>
      </w:r>
      <w:r>
        <w:rPr>
          <w:rFonts w:hint="default" w:ascii="Times New Roman" w:hAnsi="Times New Roman" w:eastAsia="方正仿宋_GBK" w:cs="Times New Roman"/>
          <w:sz w:val="32"/>
          <w:szCs w:val="32"/>
          <w:lang w:bidi="ar-SA"/>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5. 国土绿化试点示范项目下一步改进措施及建议</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一是加快项目建设进度。督促长沙市各县（市）区加快推进项目建设进度，4月完成县、市及验收，</w:t>
      </w:r>
      <w:r>
        <w:rPr>
          <w:rFonts w:hint="default" w:ascii="Times New Roman" w:hAnsi="Times New Roman" w:eastAsia="方正仿宋_GBK" w:cs="Times New Roman"/>
          <w:sz w:val="32"/>
          <w:szCs w:val="32"/>
          <w:lang w:eastAsia="zh-CN" w:bidi="ar-SA"/>
        </w:rPr>
        <w:t>同时，</w:t>
      </w:r>
      <w:r>
        <w:rPr>
          <w:rFonts w:hint="default" w:ascii="Times New Roman" w:hAnsi="Times New Roman" w:eastAsia="方正仿宋_GBK" w:cs="Times New Roman"/>
          <w:sz w:val="32"/>
          <w:szCs w:val="32"/>
          <w:lang w:bidi="ar-SA"/>
        </w:rPr>
        <w:t>加快2022年项目建设前期工作。二是加强技术指导。由项目专家组对项目建设进行现场督导</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bidi="ar-SA"/>
        </w:rPr>
        <w:t>加强项目实施过程中的观摩</w:t>
      </w:r>
      <w:r>
        <w:rPr>
          <w:rFonts w:hint="default" w:ascii="Times New Roman" w:hAnsi="Times New Roman" w:eastAsia="方正仿宋_GBK" w:cs="Times New Roman"/>
          <w:sz w:val="32"/>
          <w:szCs w:val="32"/>
          <w:lang w:eastAsia="zh-CN" w:bidi="ar-SA"/>
        </w:rPr>
        <w:t>、指导和培训</w:t>
      </w:r>
      <w:r>
        <w:rPr>
          <w:rFonts w:hint="default" w:ascii="Times New Roman" w:hAnsi="Times New Roman" w:eastAsia="方正仿宋_GBK" w:cs="Times New Roman"/>
          <w:sz w:val="32"/>
          <w:szCs w:val="32"/>
          <w:lang w:bidi="ar-SA"/>
        </w:rPr>
        <w:t>，及时解决</w:t>
      </w:r>
      <w:r>
        <w:rPr>
          <w:rFonts w:hint="default" w:ascii="Times New Roman" w:hAnsi="Times New Roman" w:eastAsia="方正仿宋_GBK" w:cs="Times New Roman"/>
          <w:sz w:val="32"/>
          <w:szCs w:val="32"/>
          <w:lang w:eastAsia="zh-CN" w:bidi="ar-SA"/>
        </w:rPr>
        <w:t>实际</w:t>
      </w:r>
      <w:r>
        <w:rPr>
          <w:rFonts w:hint="default" w:ascii="Times New Roman" w:hAnsi="Times New Roman" w:eastAsia="方正仿宋_GBK" w:cs="Times New Roman"/>
          <w:sz w:val="32"/>
          <w:szCs w:val="32"/>
          <w:lang w:bidi="ar-SA"/>
        </w:rPr>
        <w:t>存在</w:t>
      </w:r>
      <w:r>
        <w:rPr>
          <w:rFonts w:hint="default" w:ascii="Times New Roman" w:hAnsi="Times New Roman" w:eastAsia="方正仿宋_GBK" w:cs="Times New Roman"/>
          <w:sz w:val="32"/>
          <w:szCs w:val="32"/>
          <w:lang w:eastAsia="zh-CN" w:bidi="ar-SA"/>
        </w:rPr>
        <w:t>的</w:t>
      </w:r>
      <w:r>
        <w:rPr>
          <w:rFonts w:hint="default" w:ascii="Times New Roman" w:hAnsi="Times New Roman" w:eastAsia="方正仿宋_GBK" w:cs="Times New Roman"/>
          <w:sz w:val="32"/>
          <w:szCs w:val="32"/>
          <w:lang w:bidi="ar-SA"/>
        </w:rPr>
        <w:t>问题。三是做好宣传推介。多渠道多角度对项目实施过程中的典型经验做法、案例进行</w:t>
      </w:r>
      <w:r>
        <w:rPr>
          <w:rFonts w:hint="eastAsia" w:eastAsia="方正仿宋_GBK" w:cs="Times New Roman"/>
          <w:sz w:val="32"/>
          <w:szCs w:val="32"/>
          <w:lang w:eastAsia="zh-CN" w:bidi="ar-SA"/>
        </w:rPr>
        <w:t>宣传报道</w:t>
      </w:r>
      <w:r>
        <w:rPr>
          <w:rFonts w:hint="default" w:ascii="Times New Roman" w:hAnsi="Times New Roman" w:eastAsia="方正仿宋_GBK" w:cs="Times New Roman"/>
          <w:sz w:val="32"/>
          <w:szCs w:val="32"/>
          <w:lang w:bidi="ar-SA"/>
        </w:rPr>
        <w:t>，进一步扩大国土绿化项目和生态文明建设的影响力。四是建议中央出台国土绿化项目指导性文件，明确项目实施方案调整、督察验收等工作流程及要求，强化项目指导和监管。</w:t>
      </w:r>
      <w:r>
        <w:rPr>
          <w:rFonts w:hint="default" w:ascii="Times New Roman" w:hAnsi="Times New Roman" w:eastAsia="方正仿宋_GBK" w:cs="Times New Roman"/>
          <w:sz w:val="32"/>
          <w:szCs w:val="32"/>
          <w:lang w:eastAsia="zh-CN" w:bidi="ar-SA"/>
        </w:rPr>
        <w:t>同时也</w:t>
      </w:r>
      <w:r>
        <w:rPr>
          <w:rFonts w:hint="default" w:ascii="Times New Roman" w:hAnsi="Times New Roman" w:eastAsia="方正仿宋_GBK" w:cs="Times New Roman"/>
          <w:sz w:val="32"/>
          <w:szCs w:val="32"/>
          <w:lang w:bidi="ar-SA"/>
        </w:rPr>
        <w:t>建议中央同意完成项目进度可按照造林年度计算，保障项目建设成效。</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黑体_GBK" w:cs="Times New Roman"/>
          <w:sz w:val="32"/>
          <w:szCs w:val="32"/>
          <w:lang w:bidi="ar-SA"/>
        </w:rPr>
      </w:pPr>
      <w:r>
        <w:rPr>
          <w:rFonts w:hint="default" w:ascii="Times New Roman" w:hAnsi="Times New Roman" w:eastAsia="方正黑体_GBK" w:cs="Times New Roman"/>
          <w:sz w:val="32"/>
          <w:szCs w:val="32"/>
          <w:lang w:bidi="ar-SA"/>
        </w:rPr>
        <w:t>四、绩效自评结果拟应用和公开情况</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楷体_GBK" w:cs="Times New Roman"/>
          <w:sz w:val="32"/>
          <w:szCs w:val="32"/>
          <w:lang w:bidi="ar-SA"/>
        </w:rPr>
      </w:pPr>
      <w:r>
        <w:rPr>
          <w:rFonts w:hint="default" w:ascii="Times New Roman" w:hAnsi="Times New Roman" w:eastAsia="方正楷体_GBK" w:cs="Times New Roman"/>
          <w:sz w:val="32"/>
          <w:szCs w:val="32"/>
          <w:lang w:bidi="ar-SA"/>
        </w:rPr>
        <w:t>（一）绩效自评结果拟应用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1</w:t>
      </w:r>
      <w:r>
        <w:rPr>
          <w:rFonts w:hint="default" w:ascii="Times New Roman" w:hAnsi="Times New Roman" w:eastAsia="方正仿宋_GBK" w:cs="Times New Roman"/>
          <w:sz w:val="32"/>
          <w:szCs w:val="32"/>
          <w:lang w:val="en-US" w:eastAsia="zh-CN" w:bidi="ar-SA"/>
        </w:rPr>
        <w:t>.</w:t>
      </w:r>
      <w:r>
        <w:rPr>
          <w:rFonts w:hint="default" w:ascii="Times New Roman" w:hAnsi="Times New Roman" w:eastAsia="方正仿宋_GBK" w:cs="Times New Roman"/>
          <w:sz w:val="32"/>
          <w:szCs w:val="32"/>
          <w:lang w:bidi="ar-SA"/>
        </w:rPr>
        <w:t>经自评，湖南省林业改革发展项目综合评价自评得分为94.90分，自评结果为“优”。</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2</w:t>
      </w:r>
      <w:r>
        <w:rPr>
          <w:rFonts w:hint="default" w:ascii="Times New Roman" w:hAnsi="Times New Roman" w:eastAsia="方正仿宋_GBK" w:cs="Times New Roman"/>
          <w:sz w:val="32"/>
          <w:szCs w:val="32"/>
          <w:lang w:val="en-US" w:eastAsia="zh-CN" w:bidi="ar-SA"/>
        </w:rPr>
        <w:t>.强化</w:t>
      </w:r>
      <w:r>
        <w:rPr>
          <w:rFonts w:hint="default" w:ascii="Times New Roman" w:hAnsi="Times New Roman" w:eastAsia="方正仿宋_GBK" w:cs="Times New Roman"/>
          <w:sz w:val="32"/>
          <w:szCs w:val="32"/>
          <w:lang w:bidi="ar-SA"/>
        </w:rPr>
        <w:t>绩效评价结果应用，既是开展绩效评价工作的基本前提，又是加强财政支出管理、增强资金绩效理念、合理配置公共资源、优化财政支出结构、强化资金管理水平</w:t>
      </w:r>
      <w:r>
        <w:rPr>
          <w:rFonts w:hint="default" w:ascii="Times New Roman" w:hAnsi="Times New Roman" w:eastAsia="方正仿宋_GBK" w:cs="Times New Roman"/>
          <w:sz w:val="32"/>
          <w:szCs w:val="32"/>
          <w:lang w:eastAsia="zh-CN" w:bidi="ar-SA"/>
        </w:rPr>
        <w:t>和</w:t>
      </w:r>
      <w:r>
        <w:rPr>
          <w:rFonts w:hint="default" w:ascii="Times New Roman" w:hAnsi="Times New Roman" w:eastAsia="方正仿宋_GBK" w:cs="Times New Roman"/>
          <w:sz w:val="32"/>
          <w:szCs w:val="32"/>
          <w:lang w:bidi="ar-SA"/>
        </w:rPr>
        <w:t>提高资金使用效益的重要手段。我们将继续加强资金项目管理，针对自评过程中发现的问题，及时反馈给项目管理单位和实施单位，督促其提出整改建议意见并落实整改措施</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bidi="ar-SA"/>
        </w:rPr>
        <w:t>同时，对绩效自评结果进行研究分析，作为下一年度资金申报与分配的依据，对未能达标完成年度目标的项目实施单位和地方，</w:t>
      </w:r>
      <w:r>
        <w:rPr>
          <w:rFonts w:hint="default" w:ascii="Times New Roman" w:hAnsi="Times New Roman" w:eastAsia="方正仿宋_GBK" w:cs="Times New Roman"/>
          <w:sz w:val="32"/>
          <w:szCs w:val="32"/>
          <w:lang w:eastAsia="zh-CN" w:bidi="ar-SA"/>
        </w:rPr>
        <w:t>及时</w:t>
      </w:r>
      <w:r>
        <w:rPr>
          <w:rFonts w:hint="default" w:ascii="Times New Roman" w:hAnsi="Times New Roman" w:eastAsia="方正仿宋_GBK" w:cs="Times New Roman"/>
          <w:sz w:val="32"/>
          <w:szCs w:val="32"/>
          <w:lang w:bidi="ar-SA"/>
        </w:rPr>
        <w:t>督促其完成年度目标，对没有整改到位的市县，调减下年度资金安排额度。</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楷体_GBK" w:cs="Times New Roman"/>
          <w:sz w:val="32"/>
          <w:szCs w:val="32"/>
          <w:lang w:bidi="ar-SA"/>
        </w:rPr>
      </w:pPr>
      <w:r>
        <w:rPr>
          <w:rFonts w:hint="default" w:ascii="Times New Roman" w:hAnsi="Times New Roman" w:eastAsia="方正楷体_GBK" w:cs="Times New Roman"/>
          <w:sz w:val="32"/>
          <w:szCs w:val="32"/>
          <w:lang w:bidi="ar-SA"/>
        </w:rPr>
        <w:t>（二）自评结果的公开情况</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本次绩效自评结果除上报财政部、国家林业和草原局外，拟将在湖南省林业局门户网站予以公开，接受社会公众监督。</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黑体_GBK" w:cs="Times New Roman"/>
          <w:sz w:val="32"/>
          <w:szCs w:val="32"/>
          <w:lang w:bidi="ar-SA"/>
        </w:rPr>
      </w:pPr>
      <w:r>
        <w:rPr>
          <w:rFonts w:hint="default" w:ascii="Times New Roman" w:hAnsi="Times New Roman" w:eastAsia="方正黑体_GBK" w:cs="Times New Roman"/>
          <w:sz w:val="32"/>
          <w:szCs w:val="32"/>
          <w:lang w:bidi="ar-SA"/>
        </w:rPr>
        <w:t>五、其他需要说明的问题</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color w:val="000000"/>
          <w:sz w:val="32"/>
          <w:szCs w:val="32"/>
          <w:lang w:bidi="ar-SA"/>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color w:val="000000"/>
          <w:sz w:val="32"/>
          <w:szCs w:val="32"/>
          <w:lang w:bidi="ar-SA"/>
        </w:rPr>
        <w:t>附</w:t>
      </w:r>
      <w:r>
        <w:rPr>
          <w:rFonts w:hint="default" w:ascii="Times New Roman" w:hAnsi="Times New Roman" w:eastAsia="方正仿宋_GBK" w:cs="Times New Roman"/>
          <w:color w:val="000000"/>
          <w:sz w:val="32"/>
          <w:szCs w:val="32"/>
          <w:lang w:eastAsia="zh-CN" w:bidi="ar-SA"/>
        </w:rPr>
        <w:t>表</w:t>
      </w:r>
      <w:r>
        <w:rPr>
          <w:rFonts w:hint="default" w:ascii="Times New Roman" w:hAnsi="Times New Roman" w:eastAsia="方正仿宋_GBK" w:cs="Times New Roman"/>
          <w:color w:val="000000"/>
          <w:sz w:val="32"/>
          <w:szCs w:val="32"/>
          <w:lang w:bidi="ar-SA"/>
        </w:rPr>
        <w:t>：</w:t>
      </w:r>
      <w:r>
        <w:rPr>
          <w:rFonts w:hint="default" w:ascii="Times New Roman" w:hAnsi="Times New Roman" w:eastAsia="方正仿宋_GBK" w:cs="Times New Roman"/>
          <w:sz w:val="32"/>
          <w:szCs w:val="32"/>
          <w:lang w:bidi="ar-SA"/>
        </w:rPr>
        <w:t>中央对地方转移支付</w:t>
      </w:r>
      <w:r>
        <w:rPr>
          <w:rFonts w:hint="default" w:ascii="Times New Roman" w:hAnsi="Times New Roman" w:eastAsia="方正仿宋_GBK" w:cs="Times New Roman"/>
          <w:sz w:val="32"/>
          <w:szCs w:val="32"/>
          <w:lang w:eastAsia="zh-CN" w:bidi="ar-SA"/>
        </w:rPr>
        <w:t>湖南省</w:t>
      </w:r>
      <w:r>
        <w:rPr>
          <w:rFonts w:hint="default" w:ascii="Times New Roman" w:hAnsi="Times New Roman" w:eastAsia="方正仿宋_GBK" w:cs="Times New Roman"/>
          <w:sz w:val="32"/>
          <w:szCs w:val="32"/>
          <w:lang w:bidi="ar-SA"/>
        </w:rPr>
        <w:t>（林业改革发展资金）</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1600" w:firstLineChars="500"/>
        <w:jc w:val="both"/>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t>绩效目标自评表</w:t>
      </w:r>
    </w:p>
    <w:p>
      <w:pPr>
        <w:spacing w:line="600" w:lineRule="exact"/>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bidi="ar-SA"/>
        </w:rPr>
        <w:br w:type="page"/>
      </w:r>
    </w:p>
    <w:tbl>
      <w:tblPr>
        <w:tblStyle w:val="4"/>
        <w:tblW w:w="104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3"/>
        <w:gridCol w:w="619"/>
        <w:gridCol w:w="998"/>
        <w:gridCol w:w="1609"/>
        <w:gridCol w:w="1427"/>
        <w:gridCol w:w="1042"/>
        <w:gridCol w:w="1198"/>
        <w:gridCol w:w="588"/>
        <w:gridCol w:w="748"/>
        <w:gridCol w:w="17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419" w:type="dxa"/>
            <w:gridSpan w:val="10"/>
            <w:tcBorders>
              <w:top w:val="nil"/>
              <w:left w:val="nil"/>
              <w:bottom w:val="nil"/>
              <w:right w:val="nil"/>
            </w:tcBorders>
            <w:vAlign w:val="center"/>
          </w:tcPr>
          <w:p>
            <w:pPr>
              <w:keepNext w:val="0"/>
              <w:keepLines w:val="0"/>
              <w:widowControl/>
              <w:suppressLineNumbers w:val="0"/>
              <w:jc w:val="center"/>
              <w:textAlignment w:val="center"/>
              <w:rPr>
                <w:rFonts w:hint="default" w:ascii="Times New Roman" w:hAnsi="Times New Roman" w:eastAsia="方正小标宋简体" w:cs="Times New Roman"/>
                <w:i w:val="0"/>
                <w:color w:val="000000"/>
                <w:kern w:val="0"/>
                <w:sz w:val="40"/>
                <w:szCs w:val="40"/>
                <w:u w:val="none"/>
                <w:lang w:val="en-US" w:eastAsia="zh-CN" w:bidi="ar"/>
              </w:rPr>
            </w:pPr>
            <w:r>
              <w:rPr>
                <w:rFonts w:hint="default" w:ascii="Times New Roman" w:hAnsi="Times New Roman" w:eastAsia="方正小标宋简体" w:cs="Times New Roman"/>
                <w:i w:val="0"/>
                <w:color w:val="000000"/>
                <w:kern w:val="0"/>
                <w:sz w:val="40"/>
                <w:szCs w:val="40"/>
                <w:u w:val="none"/>
                <w:lang w:val="en-US" w:eastAsia="zh-CN" w:bidi="ar"/>
              </w:rPr>
              <w:t>中央对地方专项转移支付湖南省</w:t>
            </w:r>
          </w:p>
          <w:p>
            <w:pPr>
              <w:keepNext w:val="0"/>
              <w:keepLines w:val="0"/>
              <w:widowControl/>
              <w:suppressLineNumbers w:val="0"/>
              <w:jc w:val="center"/>
              <w:textAlignment w:val="center"/>
              <w:rPr>
                <w:rFonts w:hint="default" w:ascii="Times New Roman" w:hAnsi="Times New Roman" w:eastAsia="方正小标宋简体" w:cs="Times New Roman"/>
                <w:i w:val="0"/>
                <w:color w:val="000000"/>
                <w:sz w:val="40"/>
                <w:szCs w:val="40"/>
                <w:u w:val="none"/>
              </w:rPr>
            </w:pPr>
            <w:r>
              <w:rPr>
                <w:rFonts w:hint="default" w:ascii="Times New Roman" w:hAnsi="Times New Roman" w:eastAsia="方正小标宋简体" w:cs="Times New Roman"/>
                <w:i w:val="0"/>
                <w:color w:val="000000"/>
                <w:kern w:val="0"/>
                <w:sz w:val="40"/>
                <w:szCs w:val="40"/>
                <w:u w:val="none"/>
                <w:lang w:val="en-US" w:eastAsia="zh-CN" w:bidi="ar"/>
              </w:rPr>
              <w:t>（林业改革发展资金）绩效目标自评表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419" w:type="dxa"/>
            <w:gridSpan w:val="10"/>
            <w:tcBorders>
              <w:top w:val="nil"/>
              <w:left w:val="nil"/>
              <w:bottom w:val="nil"/>
              <w:right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（2021年度）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9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转移支付（项目）名称</w:t>
            </w:r>
          </w:p>
        </w:tc>
        <w:tc>
          <w:tcPr>
            <w:tcW w:w="8329"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林业改革发展资金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9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中央主管部门</w:t>
            </w:r>
          </w:p>
        </w:tc>
        <w:tc>
          <w:tcPr>
            <w:tcW w:w="8329"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财政部、国家林业和草原局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9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地方主管部门</w:t>
            </w: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湖南省财政厅</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资金使用部门</w:t>
            </w:r>
          </w:p>
        </w:tc>
        <w:tc>
          <w:tcPr>
            <w:tcW w:w="4251"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县市区林业部门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90" w:type="dxa"/>
            <w:gridSpan w:val="3"/>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资金情况</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（万元）</w:t>
            </w:r>
          </w:p>
        </w:tc>
        <w:tc>
          <w:tcPr>
            <w:tcW w:w="16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4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全年预算数（A）</w:t>
            </w:r>
          </w:p>
        </w:tc>
        <w:tc>
          <w:tcPr>
            <w:tcW w:w="224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全年执行数（B）</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分值</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得分</w:t>
            </w:r>
          </w:p>
        </w:tc>
        <w:tc>
          <w:tcPr>
            <w:tcW w:w="17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90"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6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年度资金总额：</w:t>
            </w:r>
          </w:p>
        </w:tc>
        <w:tc>
          <w:tcPr>
            <w:tcW w:w="14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 xml:space="preserve">306258.75 </w:t>
            </w:r>
          </w:p>
        </w:tc>
        <w:tc>
          <w:tcPr>
            <w:tcW w:w="224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216555.56</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10</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7.07</w:t>
            </w:r>
          </w:p>
        </w:tc>
        <w:tc>
          <w:tcPr>
            <w:tcW w:w="17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70.71%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90"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6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 xml:space="preserve">  其中：中央财政资金</w:t>
            </w:r>
          </w:p>
        </w:tc>
        <w:tc>
          <w:tcPr>
            <w:tcW w:w="14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 xml:space="preserve">266108.00 </w:t>
            </w:r>
          </w:p>
        </w:tc>
        <w:tc>
          <w:tcPr>
            <w:tcW w:w="224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90"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6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 xml:space="preserve">   地方资金</w:t>
            </w:r>
          </w:p>
        </w:tc>
        <w:tc>
          <w:tcPr>
            <w:tcW w:w="14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40150.75</w:t>
            </w:r>
          </w:p>
        </w:tc>
        <w:tc>
          <w:tcPr>
            <w:tcW w:w="224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90"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6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 xml:space="preserve">   其他资金</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224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总体目标完成情况</w:t>
            </w:r>
          </w:p>
        </w:tc>
        <w:tc>
          <w:tcPr>
            <w:tcW w:w="4653"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总体目标</w:t>
            </w:r>
          </w:p>
        </w:tc>
        <w:tc>
          <w:tcPr>
            <w:tcW w:w="5293"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4653"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加强森林资源管护，落实纳入森林资源管护补助的天保区外森林管护，国家级公益林森林生态效益补偿；推进大规模国土绿化，完成造林、森林抚育约束性指标任务，提升林木良种培育能力和林木良种使用率，推进油茶林营造；对国家级自然保护区开展能力建设；开展湿地等生态保护体系建设，实施湿地生态效益补偿和湿地保护预恢复项目，实施林业科技推广项目，加快科技成果转化；加强森林火灾预防和国家重点野生动物保护。</w:t>
            </w:r>
          </w:p>
        </w:tc>
        <w:tc>
          <w:tcPr>
            <w:tcW w:w="5293"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加强了森林资源管护，落实了纳入森林资源管护补助的天保工程区外森林管护，国家级公益林森林生态效益补偿；推进了大规模国土绿化，完成了造林、森林抚育的约束性指标任务，提升了林木良种培育能力和林木良种使用率，推进了油茶林营造；对国家级自然保护区开展了能力建设；开展了湿地等生态保护体系建设，实施了湿地生态效益补偿和湿地保护与恢复项目，实施了林业科技推广项目，加快了科技成果转化；加强了森林火灾预防和国家重点野生动植物保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绩</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效</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指</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标</w:t>
            </w:r>
          </w:p>
        </w:tc>
        <w:tc>
          <w:tcPr>
            <w:tcW w:w="6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一级指标</w:t>
            </w:r>
          </w:p>
        </w:tc>
        <w:tc>
          <w:tcPr>
            <w:tcW w:w="9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二级指标</w:t>
            </w: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三级指标</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年度指标值</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全年实际完成值</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分值</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得分</w:t>
            </w:r>
          </w:p>
        </w:tc>
        <w:tc>
          <w:tcPr>
            <w:tcW w:w="17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产出指标</w:t>
            </w:r>
          </w:p>
        </w:tc>
        <w:tc>
          <w:tcPr>
            <w:tcW w:w="9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数量指标</w:t>
            </w: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国有天然林管护面积（万亩）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114.98</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115</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非国有天然商品林管护面积（万亩）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3045</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3043.78</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17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天然林面积因与“国土三调”的森林资源数据不一致或因林地权属存在争议等原因无法落实到户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非国有地方公益林管护面积（万元）</w:t>
            </w: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19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国家级公益林管护面积（万亩）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5878.42</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5876.7635</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17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差异数系动态调整，视同完成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政策到期符合国家级公益林界定条件上一轮退耕还生态林管护面积（万亩）</w:t>
            </w: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19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国家重点林木良种基地面积（亩）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30731</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30731</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造林面积（万亩）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90</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111.83</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森林抚育面积（万亩）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99</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109.42</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政策到期上一轮退耕还生态林纳入森林抚育补助面积（万亩）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658.82</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124.9367</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0.38</w:t>
            </w:r>
          </w:p>
        </w:tc>
        <w:tc>
          <w:tcPr>
            <w:tcW w:w="17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项目补助标准偏低，退耕户对项目要求积极性不高，操作难度大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沙化土地封禁保护区新建数量（个）</w:t>
            </w: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19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沙化土地封禁保护区补偿面积（万亩）</w:t>
            </w: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19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油茶低产低效林改造面积（万亩）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27</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19.51</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1.45</w:t>
            </w:r>
          </w:p>
        </w:tc>
        <w:tc>
          <w:tcPr>
            <w:tcW w:w="17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目前仍在实施期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国家级自然保护区数量（个）</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20</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20</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湿地保护与恢复项目数量（个）</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4</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4</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退耕还湿面积（万亩）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纳入湿地生态效益补偿补助的湿地数量（个）</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边境森林防火隔离带长度（公里）</w:t>
            </w: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19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林业有害生物防治面积（万亩）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373.97</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373.97</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国家重点保护野生动物植物种数保护率（%）</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方正舒体" w:cs="Times New Roman"/>
                <w:i w:val="0"/>
                <w:color w:val="000000"/>
                <w:kern w:val="0"/>
                <w:sz w:val="18"/>
                <w:szCs w:val="18"/>
                <w:u w:val="none"/>
                <w:lang w:val="en-US" w:eastAsia="zh-CN" w:bidi="ar"/>
              </w:rPr>
              <w:t>≥</w:t>
            </w:r>
            <w:r>
              <w:rPr>
                <w:rStyle w:val="9"/>
                <w:rFonts w:hint="default" w:ascii="Times New Roman" w:hAnsi="Times New Roman" w:cs="Times New Roman"/>
                <w:sz w:val="18"/>
                <w:szCs w:val="18"/>
                <w:lang w:val="en-US" w:eastAsia="zh-CN" w:bidi="ar"/>
              </w:rPr>
              <w:t>85</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≥85</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林业科技推广项目个数（个）</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16</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16</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vAlign w:val="center"/>
          </w:tcPr>
          <w:p>
            <w:pP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绩</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效</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指</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标</w:t>
            </w: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产出指标</w:t>
            </w:r>
          </w:p>
        </w:tc>
        <w:tc>
          <w:tcPr>
            <w:tcW w:w="9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质量指标</w:t>
            </w: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造林完成合格率（%）</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方正舒体" w:cs="Times New Roman"/>
                <w:i w:val="0"/>
                <w:color w:val="000000"/>
                <w:kern w:val="0"/>
                <w:sz w:val="18"/>
                <w:szCs w:val="18"/>
                <w:u w:val="none"/>
                <w:lang w:val="en-US" w:eastAsia="zh-CN" w:bidi="ar"/>
              </w:rPr>
              <w:t>≥</w:t>
            </w:r>
            <w:r>
              <w:rPr>
                <w:rStyle w:val="9"/>
                <w:rFonts w:hint="default" w:ascii="Times New Roman" w:hAnsi="Times New Roman" w:cs="Times New Roman"/>
                <w:sz w:val="18"/>
                <w:szCs w:val="18"/>
                <w:lang w:val="en-US" w:eastAsia="zh-CN" w:bidi="ar"/>
              </w:rPr>
              <w:t>85</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93.16</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森林抚育合格率（%）</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≥90</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93.07</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森林火灾受害率（‰）</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≤0.9</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≤0.9</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主要林业有害生物成灾率（%）</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6.68‰</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时效指标</w:t>
            </w: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天然林和国家级公益林管护当期任务完成率（%）</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≥90</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99.99</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造林当期任务完成率（%）</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方正舒体" w:cs="Times New Roman"/>
                <w:i w:val="0"/>
                <w:color w:val="000000"/>
                <w:kern w:val="0"/>
                <w:sz w:val="18"/>
                <w:szCs w:val="18"/>
                <w:u w:val="none"/>
                <w:lang w:val="en-US" w:eastAsia="zh-CN" w:bidi="ar"/>
              </w:rPr>
              <w:t>≥</w:t>
            </w:r>
            <w:r>
              <w:rPr>
                <w:rStyle w:val="9"/>
                <w:rFonts w:hint="default" w:ascii="Times New Roman" w:hAnsi="Times New Roman" w:cs="Times New Roman"/>
                <w:sz w:val="18"/>
                <w:szCs w:val="18"/>
                <w:lang w:val="en-US" w:eastAsia="zh-CN" w:bidi="ar"/>
              </w:rPr>
              <w:t>80</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≥80</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森林抚育当期任务完成率（%）</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方正舒体" w:cs="Times New Roman"/>
                <w:i w:val="0"/>
                <w:color w:val="000000"/>
                <w:kern w:val="0"/>
                <w:sz w:val="18"/>
                <w:szCs w:val="18"/>
                <w:u w:val="none"/>
                <w:lang w:val="en-US" w:eastAsia="zh-CN" w:bidi="ar"/>
              </w:rPr>
              <w:t>≥</w:t>
            </w:r>
            <w:r>
              <w:rPr>
                <w:rStyle w:val="9"/>
                <w:rFonts w:hint="default" w:ascii="Times New Roman" w:hAnsi="Times New Roman" w:cs="Times New Roman"/>
                <w:sz w:val="18"/>
                <w:szCs w:val="18"/>
                <w:lang w:val="en-US" w:eastAsia="zh-CN" w:bidi="ar"/>
              </w:rPr>
              <w:t>80</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≥80</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退耕还湿任务完成率（%）</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方正舒体" w:cs="Times New Roman"/>
                <w:i w:val="0"/>
                <w:color w:val="000000"/>
                <w:kern w:val="0"/>
                <w:sz w:val="18"/>
                <w:szCs w:val="18"/>
                <w:u w:val="none"/>
                <w:lang w:val="en-US" w:eastAsia="zh-CN" w:bidi="ar"/>
              </w:rPr>
              <w:t>≥</w:t>
            </w:r>
            <w:r>
              <w:rPr>
                <w:rStyle w:val="9"/>
                <w:rFonts w:hint="default" w:ascii="Times New Roman" w:hAnsi="Times New Roman" w:cs="Times New Roman"/>
                <w:sz w:val="18"/>
                <w:szCs w:val="18"/>
                <w:lang w:val="en-US" w:eastAsia="zh-CN" w:bidi="ar"/>
              </w:rPr>
              <w:t>80</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≥80</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成本指标</w:t>
            </w: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国有天然林管护中央财政补助标准（元/亩）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10</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10</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非国有地方公益林管护中央财政补助标准（元/亩）</w:t>
            </w: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19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58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非国有天然商品林停伐管护中央财政补助标准（元/亩）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16</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16</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国有国家级公益林管护中央财政补助标准（元/亩）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10</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10</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非国有国家级公益林管护中央财政补助标准（元/亩）</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16</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16</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效益指标</w:t>
            </w:r>
          </w:p>
        </w:tc>
        <w:tc>
          <w:tcPr>
            <w:tcW w:w="9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生态效益指标</w:t>
            </w: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林业有害生物无公害防治率（%）</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≥90</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88.9</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171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森林、湿地生态系统效益发挥</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明显</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明显</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1717" w:type="dxa"/>
            <w:tcBorders>
              <w:top w:val="single" w:color="000000" w:sz="4" w:space="0"/>
              <w:left w:val="single" w:color="000000" w:sz="4" w:space="0"/>
              <w:bottom w:val="single" w:color="000000" w:sz="4" w:space="0"/>
              <w:right w:val="single" w:color="000000" w:sz="4" w:space="0"/>
            </w:tcBorders>
            <w:vAlign w:val="center"/>
          </w:tcPr>
          <w:p>
            <w:pP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9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可持续影响指标</w:t>
            </w: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森林、湿地、荒漠生态系统功能改善可持续影响</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明显</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明显</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1717" w:type="dxa"/>
            <w:tcBorders>
              <w:top w:val="single" w:color="000000" w:sz="4" w:space="0"/>
              <w:left w:val="single" w:color="000000" w:sz="4" w:space="0"/>
              <w:bottom w:val="single" w:color="000000" w:sz="4" w:space="0"/>
              <w:right w:val="single" w:color="000000" w:sz="4" w:space="0"/>
            </w:tcBorders>
            <w:vAlign w:val="center"/>
          </w:tcPr>
          <w:p>
            <w:pP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满意度    指标</w:t>
            </w:r>
          </w:p>
        </w:tc>
        <w:tc>
          <w:tcPr>
            <w:tcW w:w="9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服务对象满意度指标</w:t>
            </w: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林区职工、周边群众满意度（%）</w:t>
            </w:r>
          </w:p>
        </w:tc>
        <w:tc>
          <w:tcPr>
            <w:tcW w:w="10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方正舒体" w:cs="Times New Roman"/>
                <w:i w:val="0"/>
                <w:color w:val="000000"/>
                <w:kern w:val="0"/>
                <w:sz w:val="18"/>
                <w:szCs w:val="18"/>
                <w:u w:val="none"/>
                <w:lang w:val="en-US" w:eastAsia="zh-CN" w:bidi="ar"/>
              </w:rPr>
              <w:t>≥</w:t>
            </w:r>
            <w:r>
              <w:rPr>
                <w:rStyle w:val="9"/>
                <w:rFonts w:hint="default" w:ascii="Times New Roman" w:hAnsi="Times New Roman" w:cs="Times New Roman"/>
                <w:sz w:val="18"/>
                <w:szCs w:val="18"/>
                <w:lang w:val="en-US" w:eastAsia="zh-CN" w:bidi="ar"/>
              </w:rPr>
              <w:t>80</w:t>
            </w:r>
          </w:p>
        </w:tc>
        <w:tc>
          <w:tcPr>
            <w:tcW w:w="11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90</w:t>
            </w: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1717" w:type="dxa"/>
            <w:tcBorders>
              <w:top w:val="single" w:color="000000" w:sz="4" w:space="0"/>
              <w:left w:val="single" w:color="000000" w:sz="4" w:space="0"/>
              <w:bottom w:val="single" w:color="000000" w:sz="4" w:space="0"/>
              <w:right w:val="single" w:color="000000" w:sz="4" w:space="0"/>
            </w:tcBorders>
            <w:vAlign w:val="center"/>
          </w:tcPr>
          <w:p>
            <w:pP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总分</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303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119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sz w:val="18"/>
                <w:szCs w:val="18"/>
                <w:u w:val="none"/>
              </w:rPr>
            </w:pPr>
          </w:p>
        </w:tc>
        <w:tc>
          <w:tcPr>
            <w:tcW w:w="5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100</w:t>
            </w:r>
          </w:p>
        </w:tc>
        <w:tc>
          <w:tcPr>
            <w:tcW w:w="7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 xml:space="preserve"> 94.90 </w:t>
            </w:r>
          </w:p>
        </w:tc>
        <w:tc>
          <w:tcPr>
            <w:tcW w:w="1717" w:type="dxa"/>
            <w:tcBorders>
              <w:top w:val="single" w:color="000000" w:sz="4" w:space="0"/>
              <w:left w:val="single" w:color="000000" w:sz="4" w:space="0"/>
              <w:bottom w:val="single" w:color="000000" w:sz="4" w:space="0"/>
              <w:right w:val="single" w:color="000000" w:sz="4" w:space="0"/>
            </w:tcBorders>
            <w:vAlign w:val="center"/>
          </w:tcPr>
          <w:p>
            <w:pPr>
              <w:rPr>
                <w:rFonts w:hint="default" w:ascii="Times New Roman" w:hAnsi="Times New Roman" w:eastAsia="宋体" w:cs="Times New Roman"/>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说明</w:t>
            </w:r>
          </w:p>
        </w:tc>
        <w:tc>
          <w:tcPr>
            <w:tcW w:w="9946" w:type="dxa"/>
            <w:gridSpan w:val="9"/>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无</w:t>
            </w:r>
          </w:p>
        </w:tc>
      </w:tr>
    </w:tbl>
    <w:p>
      <w:pPr>
        <w:spacing w:line="600" w:lineRule="exact"/>
        <w:rPr>
          <w:rFonts w:hint="default" w:ascii="Times New Roman" w:hAnsi="Times New Roman" w:eastAsia="方正仿宋_GBK" w:cs="Times New Roman"/>
          <w:sz w:val="32"/>
          <w:szCs w:val="32"/>
          <w:lang w:bidi="ar-SA"/>
        </w:rPr>
      </w:pPr>
    </w:p>
    <w:p>
      <w:pPr>
        <w:rPr>
          <w:rFonts w:hint="default" w:ascii="Times New Roman" w:hAnsi="Times New Roman" w:cs="Times New Roman"/>
        </w:rPr>
      </w:pPr>
    </w:p>
    <w:p>
      <w:pPr>
        <w:rPr>
          <w:rFonts w:hint="default" w:ascii="Times New Roman" w:hAnsi="Times New Roman" w:cs="Times New Roman"/>
        </w:rPr>
      </w:pPr>
    </w:p>
    <w:p>
      <w:pPr>
        <w:widowControl/>
        <w:spacing w:line="560" w:lineRule="exact"/>
        <w:jc w:val="left"/>
        <w:rPr>
          <w:rFonts w:hint="default" w:ascii="Times New Roman" w:hAnsi="Times New Roman" w:eastAsia="方正仿宋_GBK" w:cs="Times New Roman"/>
          <w:sz w:val="32"/>
          <w:szCs w:val="32"/>
          <w:lang w:bidi="ar-SA"/>
        </w:rPr>
      </w:pPr>
    </w:p>
    <w:p>
      <w:pPr>
        <w:spacing w:line="600" w:lineRule="exact"/>
        <w:jc w:val="both"/>
        <w:rPr>
          <w:rFonts w:hint="eastAsia" w:ascii="方正仿宋_GBK" w:hAnsi="方正仿宋_GBK" w:eastAsia="方正仿宋_GBK" w:cs="方正仿宋_GBK"/>
          <w:b w:val="0"/>
          <w:bCs w:val="0"/>
          <w:sz w:val="32"/>
          <w:szCs w:val="32"/>
        </w:rPr>
      </w:pPr>
    </w:p>
    <w:sectPr>
      <w:footerReference r:id="rId3" w:type="default"/>
      <w:pgSz w:w="11906" w:h="16838"/>
      <w:pgMar w:top="1531" w:right="1758" w:bottom="1531" w:left="1758" w:header="851" w:footer="992" w:gutter="0"/>
      <w:cols w:space="720" w:num="1"/>
      <w:docGrid w:type="lines" w:linePitch="4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embedRegular r:id="rId1" w:fontKey="{D23BEF54-6ACA-437B-A9CE-621DD232BC0C}"/>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653F8960-887C-461F-B2BD-9ED4DE2D6C98}"/>
  </w:font>
  <w:font w:name="方正舒体">
    <w:altName w:val="宋体"/>
    <w:panose1 w:val="02010601030101010101"/>
    <w:charset w:val="86"/>
    <w:family w:val="auto"/>
    <w:pitch w:val="default"/>
    <w:sig w:usb0="00000000" w:usb1="00000000" w:usb2="00000000" w:usb3="00000000" w:csb0="00040000" w:csb1="00000000"/>
    <w:embedRegular r:id="rId3" w:fontKey="{97DE29E8-1630-4B09-8298-58763FACDEDA}"/>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eastAsia="宋体"/>
                              <w:sz w:val="24"/>
                            </w:rPr>
                          </w:pPr>
                          <w:r>
                            <w:rPr>
                              <w:rFonts w:eastAsia="宋体"/>
                              <w:sz w:val="24"/>
                            </w:rPr>
                            <w:fldChar w:fldCharType="begin"/>
                          </w:r>
                          <w:r>
                            <w:rPr>
                              <w:rFonts w:eastAsia="宋体"/>
                              <w:sz w:val="24"/>
                            </w:rPr>
                            <w:instrText xml:space="preserve"> PAGE  \* MERGEFORMAT </w:instrText>
                          </w:r>
                          <w:r>
                            <w:rPr>
                              <w:rFonts w:eastAsia="宋体"/>
                              <w:sz w:val="24"/>
                            </w:rPr>
                            <w:fldChar w:fldCharType="separate"/>
                          </w:r>
                          <w:r>
                            <w:rPr>
                              <w:rFonts w:eastAsia="宋体"/>
                              <w:sz w:val="24"/>
                            </w:rPr>
                            <w:t>4</w:t>
                          </w:r>
                          <w:r>
                            <w:rPr>
                              <w:rFonts w:eastAsia="宋体"/>
                              <w:sz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snapToGrid w:val="0"/>
                      <w:rPr>
                        <w:rFonts w:eastAsia="宋体"/>
                        <w:sz w:val="24"/>
                      </w:rPr>
                    </w:pPr>
                    <w:r>
                      <w:rPr>
                        <w:rFonts w:eastAsia="宋体"/>
                        <w:sz w:val="24"/>
                      </w:rPr>
                      <w:fldChar w:fldCharType="begin"/>
                    </w:r>
                    <w:r>
                      <w:rPr>
                        <w:rFonts w:eastAsia="宋体"/>
                        <w:sz w:val="24"/>
                      </w:rPr>
                      <w:instrText xml:space="preserve"> PAGE  \* MERGEFORMAT </w:instrText>
                    </w:r>
                    <w:r>
                      <w:rPr>
                        <w:rFonts w:eastAsia="宋体"/>
                        <w:sz w:val="24"/>
                      </w:rPr>
                      <w:fldChar w:fldCharType="separate"/>
                    </w:r>
                    <w:r>
                      <w:rPr>
                        <w:rFonts w:eastAsia="宋体"/>
                        <w:sz w:val="24"/>
                      </w:rPr>
                      <w:t>4</w:t>
                    </w:r>
                    <w:r>
                      <w:rPr>
                        <w:rFonts w:eastAsia="宋体"/>
                        <w:sz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5ZmRiMGUzZTNhMTBlOTUwM2ZmZGZjZjU0MzA5OTEifQ=="/>
  </w:docVars>
  <w:rsids>
    <w:rsidRoot w:val="5F77D996"/>
    <w:rsid w:val="21053C9D"/>
    <w:rsid w:val="3EA979FC"/>
    <w:rsid w:val="5F77D996"/>
    <w:rsid w:val="79FE6B47"/>
    <w:rsid w:val="EBEF8937"/>
    <w:rsid w:val="F6B746E1"/>
    <w:rsid w:val="FDEF52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6">
    <w:name w:val="NormalIndent"/>
    <w:basedOn w:val="1"/>
    <w:qFormat/>
    <w:uiPriority w:val="0"/>
    <w:pPr>
      <w:ind w:firstLine="420" w:firstLineChars="200"/>
      <w:jc w:val="both"/>
      <w:textAlignment w:val="baseline"/>
    </w:pPr>
    <w:rPr>
      <w:rFonts w:ascii="Times New Roman" w:hAnsi="Times New Roman" w:eastAsia="宋体" w:cs="Times New Roman"/>
    </w:rPr>
  </w:style>
  <w:style w:type="character" w:customStyle="1" w:styleId="7">
    <w:name w:val="font21"/>
    <w:basedOn w:val="5"/>
    <w:qFormat/>
    <w:uiPriority w:val="0"/>
    <w:rPr>
      <w:rFonts w:hint="eastAsia" w:ascii="宋体" w:hAnsi="宋体" w:eastAsia="宋体" w:cs="宋体"/>
      <w:b/>
      <w:color w:val="000000"/>
      <w:sz w:val="21"/>
      <w:szCs w:val="21"/>
      <w:u w:val="none"/>
    </w:rPr>
  </w:style>
  <w:style w:type="character" w:customStyle="1" w:styleId="8">
    <w:name w:val="font01"/>
    <w:basedOn w:val="5"/>
    <w:qFormat/>
    <w:uiPriority w:val="0"/>
    <w:rPr>
      <w:rFonts w:hint="eastAsia" w:ascii="宋体" w:hAnsi="宋体" w:eastAsia="宋体" w:cs="宋体"/>
      <w:b/>
      <w:color w:val="000000"/>
      <w:sz w:val="21"/>
      <w:szCs w:val="21"/>
      <w:u w:val="none"/>
    </w:rPr>
  </w:style>
  <w:style w:type="character" w:customStyle="1" w:styleId="9">
    <w:name w:val="font41"/>
    <w:basedOn w:val="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1431655765</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2022-03-17T10:31:00Z</dcterms:created>
  <dc:creator>xjkp</dc:creator>
  <cp:lastModifiedBy>22811</cp:lastModifiedBy>
  <dcterms:modified xsi:type="dcterms:W3CDTF">2023-11-16T07:24:24Z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D22954175BB64047A52DADF440868EF8_12</vt:lpwstr>
  </property>
</Properties>
</file>